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A14E" w14:textId="7E4CE707" w:rsidR="000F5C52" w:rsidRPr="008B129E" w:rsidRDefault="000F5C52" w:rsidP="000F5C52">
      <w:pPr>
        <w:jc w:val="both"/>
        <w:rPr>
          <w:rFonts w:ascii="Times New Roman" w:hAnsi="Times New Roman"/>
          <w:bCs/>
          <w:color w:val="85C2FF"/>
          <w:sz w:val="22"/>
          <w:szCs w:val="22"/>
        </w:rPr>
      </w:pPr>
      <w:r w:rsidRPr="008B129E">
        <w:rPr>
          <w:rFonts w:ascii="Times New Roman" w:hAnsi="Times New Roman"/>
          <w:bCs/>
          <w:color w:val="85C2FF"/>
          <w:sz w:val="22"/>
          <w:szCs w:val="22"/>
        </w:rPr>
        <w:t xml:space="preserve">3.3 PIANO DEL FABBISOGNO DEL PERSONALE </w:t>
      </w:r>
    </w:p>
    <w:p w14:paraId="691A16D5" w14:textId="77777777" w:rsidR="000F5C52" w:rsidRPr="008B129E" w:rsidRDefault="000F5C52" w:rsidP="000F5C52">
      <w:pPr>
        <w:jc w:val="both"/>
        <w:rPr>
          <w:rFonts w:ascii="Times New Roman" w:hAnsi="Times New Roman"/>
          <w:bCs/>
          <w:color w:val="85C2FF"/>
          <w:sz w:val="22"/>
          <w:szCs w:val="22"/>
        </w:rPr>
      </w:pPr>
    </w:p>
    <w:p w14:paraId="559FDB5A" w14:textId="77777777" w:rsidR="000F5C52" w:rsidRPr="008B129E" w:rsidRDefault="000F5C52" w:rsidP="000F5C52">
      <w:pPr>
        <w:rPr>
          <w:rFonts w:ascii="Times New Roman" w:hAnsi="Times New Roman"/>
          <w:color w:val="000000"/>
          <w:sz w:val="22"/>
          <w:szCs w:val="22"/>
        </w:rPr>
      </w:pPr>
    </w:p>
    <w:p w14:paraId="70AF01DB" w14:textId="77777777" w:rsidR="000F5C52" w:rsidRPr="008B129E" w:rsidRDefault="000F5C52" w:rsidP="000F5C52">
      <w:pPr>
        <w:jc w:val="both"/>
        <w:rPr>
          <w:rFonts w:ascii="Times New Roman" w:hAnsi="Times New Roman"/>
          <w:sz w:val="22"/>
          <w:szCs w:val="22"/>
        </w:rPr>
      </w:pPr>
      <w:bookmarkStart w:id="0" w:name="_Hlk172636305"/>
      <w:r w:rsidRPr="008B129E">
        <w:rPr>
          <w:rFonts w:ascii="Times New Roman" w:hAnsi="Times New Roman"/>
          <w:b/>
          <w:bCs/>
          <w:sz w:val="22"/>
          <w:szCs w:val="22"/>
        </w:rPr>
        <w:t>Premessa</w:t>
      </w:r>
    </w:p>
    <w:p w14:paraId="04E7198F"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A seguito della pubblicazione sulla Gazzetta Ufficiale n. 108 del 27 aprile 2020 del decreto della Presidenza del Consiglio dei Ministri-Dipartimento della Funzione Pubblica del 17 marzo 2020, sono stati ridefiniti i parametri per la definizione delle capacità assunzionali del personale a tempo indeterminato dei Comuni.</w:t>
      </w:r>
    </w:p>
    <w:p w14:paraId="30CC451D"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Il suddetto decreto è finalizzato, in attuazione delle disposizioni di cui all'art. 33,comma 2, del decreto-legge 30 aprile 2019, n. 34, convertito con modificazioni, dalla legge 28 giugno 2019 n. 58, ad individuare i valori soglia, differenziati per fascia demografica, del rapporto tra spesa complessiva per tutto il personale, al lordo degli oneri riflessi a carico dell'Amministrazione, e la media delle entrate correnti relative agli ultimi tre rendiconti approvati, considerate al netto del fondo crediti di dubbia esigibilità stanziato in bilancio di previsione, nonché ad individuare le percentuali massime annuali di incremento della spesa di personale a tempo indeterminato per i comuni che si collocano al di sotto dei predetti valori soglia.</w:t>
      </w:r>
    </w:p>
    <w:p w14:paraId="27842BEC" w14:textId="77777777" w:rsidR="000F5C52" w:rsidRPr="008B129E" w:rsidRDefault="000F5C52" w:rsidP="000F5C52">
      <w:pPr>
        <w:jc w:val="both"/>
        <w:rPr>
          <w:rFonts w:ascii="Times New Roman" w:hAnsi="Times New Roman"/>
          <w:sz w:val="22"/>
          <w:szCs w:val="22"/>
        </w:rPr>
      </w:pPr>
    </w:p>
    <w:p w14:paraId="1495D407" w14:textId="77777777" w:rsidR="000F5C52" w:rsidRPr="008B129E" w:rsidRDefault="000F5C52" w:rsidP="000F5C52">
      <w:pPr>
        <w:jc w:val="both"/>
        <w:rPr>
          <w:rFonts w:ascii="Times New Roman" w:hAnsi="Times New Roman"/>
          <w:sz w:val="22"/>
          <w:szCs w:val="22"/>
        </w:rPr>
      </w:pPr>
      <w:r w:rsidRPr="008B129E">
        <w:rPr>
          <w:rFonts w:ascii="Times New Roman" w:hAnsi="Times New Roman"/>
          <w:b/>
          <w:bCs/>
          <w:sz w:val="22"/>
          <w:szCs w:val="22"/>
        </w:rPr>
        <w:t>1.L'attuale situazione normativa.</w:t>
      </w:r>
    </w:p>
    <w:p w14:paraId="52F3DB78"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Appare utile effettuare prioritariamente un'analisi delle varie disposizioni oggi vigenti in materia, che possono riassumersi in:</w:t>
      </w:r>
    </w:p>
    <w:p w14:paraId="70377D02"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art. 39 della legge 27 dicembre 1997 n. 449 contenente “</w:t>
      </w:r>
      <w:r w:rsidRPr="008B129E">
        <w:rPr>
          <w:rFonts w:ascii="Times New Roman" w:hAnsi="Times New Roman"/>
          <w:i/>
          <w:iCs/>
          <w:sz w:val="22"/>
          <w:szCs w:val="22"/>
        </w:rPr>
        <w:t>Disposizioni in materia di assunzioni di personale delle amministrazioni pubbliche e misure di potenziamento di incentivazione del part-time</w:t>
      </w:r>
      <w:r w:rsidRPr="008B129E">
        <w:rPr>
          <w:rFonts w:ascii="Times New Roman" w:hAnsi="Times New Roman"/>
          <w:sz w:val="22"/>
          <w:szCs w:val="22"/>
        </w:rPr>
        <w:t>” che dispone, al comma 1 , “</w:t>
      </w:r>
      <w:r w:rsidRPr="008B129E">
        <w:rPr>
          <w:rFonts w:ascii="Times New Roman" w:hAnsi="Times New Roman"/>
          <w:i/>
          <w:iCs/>
          <w:sz w:val="22"/>
          <w:szCs w:val="22"/>
        </w:rPr>
        <w:t>al fine di assicurare le esigenze di funzionalità e di ottimizzare le risorse per il migliore funzionamento dei servizi compatibilmente con le disponibilità finanziarie e di bilancio, gli organi di vertice delle amministrazioni pubbliche sono tenuti alla programmazione triennale del fabbisogno del personale</w:t>
      </w:r>
      <w:r w:rsidRPr="008B129E">
        <w:rPr>
          <w:rFonts w:ascii="Times New Roman" w:hAnsi="Times New Roman"/>
          <w:sz w:val="22"/>
          <w:szCs w:val="22"/>
        </w:rPr>
        <w:t>”.</w:t>
      </w:r>
    </w:p>
    <w:p w14:paraId="1BC39D94"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 art. 89 comma 5 del </w:t>
      </w:r>
      <w:proofErr w:type="spellStart"/>
      <w:r w:rsidRPr="008B129E">
        <w:rPr>
          <w:rFonts w:ascii="Times New Roman" w:hAnsi="Times New Roman"/>
          <w:sz w:val="22"/>
          <w:szCs w:val="22"/>
        </w:rPr>
        <w:t>D.Lgs</w:t>
      </w:r>
      <w:proofErr w:type="spellEnd"/>
      <w:r w:rsidRPr="008B129E">
        <w:rPr>
          <w:rFonts w:ascii="Times New Roman" w:hAnsi="Times New Roman"/>
          <w:sz w:val="22"/>
          <w:szCs w:val="22"/>
        </w:rPr>
        <w:t xml:space="preserve"> n. 267/2000 il quale stabilisce che, ferme restando le disposizioni dettate dalla normativa concernente gli enti locali dissestati e strutturalmente deficitari, i comuni nel rispetto dei principi fissati dalla stessa legge, provvedono  alla determinazione delle proprie dotazioni organiche, nonché all'organizzazione e gestione del personale nell'ambito della propria autonomia normativa ed organizzativa, con i soli limiti derivanti dalle proprie capacità di bilancio e dalle esigenze di esercizio delle funzioni, dei servizi e dei compiti loro attribuiti. </w:t>
      </w:r>
    </w:p>
    <w:p w14:paraId="3A810750" w14:textId="77777777" w:rsidR="000F5C52" w:rsidRPr="008B129E" w:rsidRDefault="000F5C52" w:rsidP="000F5C52">
      <w:pPr>
        <w:jc w:val="both"/>
        <w:rPr>
          <w:rFonts w:ascii="Times New Roman" w:hAnsi="Times New Roman"/>
          <w:i/>
          <w:iCs/>
          <w:sz w:val="22"/>
          <w:szCs w:val="22"/>
        </w:rPr>
      </w:pPr>
      <w:r w:rsidRPr="008B129E">
        <w:rPr>
          <w:rFonts w:ascii="Times New Roman" w:hAnsi="Times New Roman"/>
          <w:sz w:val="22"/>
          <w:szCs w:val="22"/>
        </w:rPr>
        <w:t xml:space="preserve">- l'art. 91 del </w:t>
      </w:r>
      <w:proofErr w:type="spellStart"/>
      <w:r w:rsidRPr="008B129E">
        <w:rPr>
          <w:rFonts w:ascii="Times New Roman" w:hAnsi="Times New Roman"/>
          <w:sz w:val="22"/>
          <w:szCs w:val="22"/>
        </w:rPr>
        <w:t>D.Lgs.n</w:t>
      </w:r>
      <w:proofErr w:type="spellEnd"/>
      <w:r w:rsidRPr="008B129E">
        <w:rPr>
          <w:rFonts w:ascii="Times New Roman" w:hAnsi="Times New Roman"/>
          <w:sz w:val="22"/>
          <w:szCs w:val="22"/>
        </w:rPr>
        <w:t>. 267/2000 e successive modificazioni il quale, in tema di assunzioni, testualmente recita quanto appresso: “</w:t>
      </w:r>
      <w:r w:rsidRPr="008B129E">
        <w:rPr>
          <w:rFonts w:ascii="Times New Roman" w:hAnsi="Times New Roman"/>
          <w:i/>
          <w:iCs/>
          <w:sz w:val="22"/>
          <w:szCs w:val="22"/>
        </w:rPr>
        <w:t>1. Gli enti locali adeguano i propri ordinamenti ai principi di funzionalità e di ottimizzazione delle risorse per il migliore funzionamento dei servizi compatibilmente con le disponibilità finanziarie e di bilancio. Gli organi di vertice delle amministrazioni locali sono tenuti alla programmazione triennale del fabbisogno di personale, comprensivo delle unità di cui alla legge 12 marzo 1999, n. 68, finalizzata alla riduzione programmata delle spese di personale.</w:t>
      </w:r>
    </w:p>
    <w:p w14:paraId="03026C05" w14:textId="77777777" w:rsidR="000F5C52" w:rsidRPr="008B129E" w:rsidRDefault="000F5C52" w:rsidP="000F5C52">
      <w:pPr>
        <w:jc w:val="both"/>
        <w:rPr>
          <w:rFonts w:ascii="Times New Roman" w:hAnsi="Times New Roman"/>
          <w:i/>
          <w:iCs/>
          <w:sz w:val="22"/>
          <w:szCs w:val="22"/>
        </w:rPr>
      </w:pPr>
      <w:r w:rsidRPr="008B129E">
        <w:rPr>
          <w:rFonts w:ascii="Times New Roman" w:hAnsi="Times New Roman"/>
          <w:i/>
          <w:iCs/>
          <w:sz w:val="22"/>
          <w:szCs w:val="22"/>
        </w:rPr>
        <w:t xml:space="preserve">2. Gli enti locali, ai quali non si applicano discipline autorizzatorie delle assunzioni, programmano le proprie politiche di assunzioni adeguandosi ai principi di riduzione complessiva della spesa di personale, in particolare per nuove assunzioni, di cui ai commi 2-bis, 3, 3-bis e 3-ter dell'articolo 39 della legge 27 dicembre 1997, n.449, per quanto applicabili, realizzabili anche mediante l'incremento della quota di personale ad orario ridotto o con altre tipologie contrattuali flessibili nel quadro delle assunzioni compatibili con gli obiettivi della programmazione e giustificate dai processi di riordino o di trasferimento di funzioni e competenze. </w:t>
      </w:r>
    </w:p>
    <w:p w14:paraId="0EF6BB22" w14:textId="77777777" w:rsidR="000F5C52" w:rsidRPr="008B129E" w:rsidRDefault="000F5C52" w:rsidP="000F5C52">
      <w:pPr>
        <w:jc w:val="both"/>
        <w:rPr>
          <w:rFonts w:ascii="Times New Roman" w:hAnsi="Times New Roman"/>
          <w:i/>
          <w:iCs/>
          <w:sz w:val="22"/>
          <w:szCs w:val="22"/>
        </w:rPr>
      </w:pPr>
      <w:r w:rsidRPr="008B129E">
        <w:rPr>
          <w:rFonts w:ascii="Times New Roman" w:hAnsi="Times New Roman"/>
          <w:i/>
          <w:iCs/>
          <w:sz w:val="22"/>
          <w:szCs w:val="22"/>
        </w:rPr>
        <w:t xml:space="preserve">3. Gli enti locali che non versino nelle situazioni strutturalmente deficitarie possono prevedere concorsi interamente riservati al personale dipendente, solo in relazione a particolari profili o figure professionali caratterizzati da una professionalità acquisita esclusivamente all'interno dell'ente. </w:t>
      </w:r>
    </w:p>
    <w:p w14:paraId="2A75CD7D" w14:textId="77777777" w:rsidR="000F5C52" w:rsidRPr="008B129E" w:rsidRDefault="000F5C52" w:rsidP="000F5C52">
      <w:pPr>
        <w:jc w:val="both"/>
        <w:rPr>
          <w:rFonts w:ascii="Times New Roman" w:hAnsi="Times New Roman"/>
          <w:sz w:val="22"/>
          <w:szCs w:val="22"/>
        </w:rPr>
      </w:pPr>
      <w:r w:rsidRPr="008B129E">
        <w:rPr>
          <w:rFonts w:ascii="Times New Roman" w:hAnsi="Times New Roman"/>
          <w:i/>
          <w:iCs/>
          <w:sz w:val="22"/>
          <w:szCs w:val="22"/>
        </w:rPr>
        <w:t>4. Per gli enti locali le graduatorie concorsuali rimangono efficaci per un termine di tre anni dalla data di pubblicazione, per l'eventuale copertura dei posti che si venissero a rendere successivamente vacanti e disponibili, fatta eccezione per i posti istituiti o trasformati successivamente all'indizione del concorso medesimo</w:t>
      </w:r>
      <w:r w:rsidRPr="008B129E">
        <w:rPr>
          <w:rFonts w:ascii="Times New Roman" w:hAnsi="Times New Roman"/>
          <w:sz w:val="22"/>
          <w:szCs w:val="22"/>
        </w:rPr>
        <w:t>.</w:t>
      </w:r>
    </w:p>
    <w:p w14:paraId="0458FF7E"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l’art. 19, comma 8, della Legge n. 448/2001 che stabilisce: “</w:t>
      </w:r>
      <w:r w:rsidRPr="008B129E">
        <w:rPr>
          <w:rFonts w:ascii="Times New Roman" w:hAnsi="Times New Roman"/>
          <w:i/>
          <w:iCs/>
          <w:sz w:val="22"/>
          <w:szCs w:val="22"/>
        </w:rPr>
        <w:t>A decorrere dall'anno 2002 gli organi di revisione contabile degli enti locali … accertano che i documenti di programmazione del fabbisogno di personale siano improntati al rispetto del principio di riduzione complessiva della spesa …</w:t>
      </w:r>
      <w:r w:rsidRPr="008B129E">
        <w:rPr>
          <w:rFonts w:ascii="Times New Roman" w:hAnsi="Times New Roman"/>
          <w:sz w:val="22"/>
          <w:szCs w:val="22"/>
        </w:rPr>
        <w:t>”</w:t>
      </w:r>
    </w:p>
    <w:p w14:paraId="654E3866"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l’art. 6 comma 1 del D.</w:t>
      </w:r>
      <w:proofErr w:type="gramStart"/>
      <w:r w:rsidRPr="008B129E">
        <w:rPr>
          <w:rFonts w:ascii="Times New Roman" w:hAnsi="Times New Roman"/>
          <w:sz w:val="22"/>
          <w:szCs w:val="22"/>
        </w:rPr>
        <w:t>L.vo</w:t>
      </w:r>
      <w:proofErr w:type="gramEnd"/>
      <w:r w:rsidRPr="008B129E">
        <w:rPr>
          <w:rFonts w:ascii="Times New Roman" w:hAnsi="Times New Roman"/>
          <w:sz w:val="22"/>
          <w:szCs w:val="22"/>
        </w:rPr>
        <w:t xml:space="preserve"> 165/2001 ai sensi del quale “</w:t>
      </w:r>
      <w:r w:rsidRPr="008B129E">
        <w:rPr>
          <w:rFonts w:ascii="Times New Roman" w:hAnsi="Times New Roman"/>
          <w:i/>
          <w:iCs/>
          <w:sz w:val="22"/>
          <w:szCs w:val="22"/>
        </w:rPr>
        <w:t xml:space="preserve">Nelle amministrazioni pubbliche l'organizzazione e la </w:t>
      </w:r>
      <w:proofErr w:type="gramStart"/>
      <w:r w:rsidRPr="008B129E">
        <w:rPr>
          <w:rFonts w:ascii="Times New Roman" w:hAnsi="Times New Roman"/>
          <w:i/>
          <w:iCs/>
          <w:sz w:val="22"/>
          <w:szCs w:val="22"/>
        </w:rPr>
        <w:t>disciplina  degli</w:t>
      </w:r>
      <w:proofErr w:type="gramEnd"/>
      <w:r w:rsidRPr="008B129E">
        <w:rPr>
          <w:rFonts w:ascii="Times New Roman" w:hAnsi="Times New Roman"/>
          <w:i/>
          <w:iCs/>
          <w:sz w:val="22"/>
          <w:szCs w:val="22"/>
        </w:rPr>
        <w:t xml:space="preserve"> uffici, nonché la consistenza e la variazione delle dotazioni organiche sono determinate in funzione delle finalità indicate all'articolo 1, comma 1, previa verifica degli effettivi fabbisogni e previa consultazione delle organizzazioni sindacali rappresentative ai sensi dell'art. 9. Le amministrazioni pubbliche </w:t>
      </w:r>
      <w:r w:rsidRPr="008B129E">
        <w:rPr>
          <w:rFonts w:ascii="Times New Roman" w:hAnsi="Times New Roman"/>
          <w:i/>
          <w:iCs/>
          <w:sz w:val="22"/>
          <w:szCs w:val="22"/>
        </w:rPr>
        <w:lastRenderedPageBreak/>
        <w:t>curano l'ottimale distribuzione delle risorse umane attraverso la coordinata attuazione dei processi di mobilità e di reclutamento del personale</w:t>
      </w:r>
      <w:r w:rsidRPr="008B129E">
        <w:rPr>
          <w:rFonts w:ascii="Times New Roman" w:hAnsi="Times New Roman"/>
          <w:sz w:val="22"/>
          <w:szCs w:val="22"/>
        </w:rPr>
        <w:t xml:space="preserve">”. </w:t>
      </w:r>
    </w:p>
    <w:p w14:paraId="04D680AB"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 il </w:t>
      </w:r>
      <w:proofErr w:type="spellStart"/>
      <w:r w:rsidRPr="008B129E">
        <w:rPr>
          <w:rFonts w:ascii="Times New Roman" w:hAnsi="Times New Roman"/>
          <w:sz w:val="22"/>
          <w:szCs w:val="22"/>
        </w:rPr>
        <w:t>D.Lgs.</w:t>
      </w:r>
      <w:proofErr w:type="spellEnd"/>
      <w:r w:rsidRPr="008B129E">
        <w:rPr>
          <w:rFonts w:ascii="Times New Roman" w:hAnsi="Times New Roman"/>
          <w:sz w:val="22"/>
          <w:szCs w:val="22"/>
        </w:rPr>
        <w:t xml:space="preserve"> n. 75/2017 con il quale sono state emanate le “</w:t>
      </w:r>
      <w:r w:rsidRPr="008B129E">
        <w:rPr>
          <w:rFonts w:ascii="Times New Roman" w:hAnsi="Times New Roman"/>
          <w:i/>
          <w:iCs/>
          <w:sz w:val="22"/>
          <w:szCs w:val="22"/>
        </w:rPr>
        <w:t>Linee di indirizzo per la predisposizione dei piani dei fabbisogni di personale da parte delle Amministrazioni Pubbliche</w:t>
      </w:r>
      <w:r w:rsidRPr="008B129E">
        <w:rPr>
          <w:rFonts w:ascii="Times New Roman" w:hAnsi="Times New Roman"/>
          <w:sz w:val="22"/>
          <w:szCs w:val="22"/>
        </w:rPr>
        <w:t>”.</w:t>
      </w:r>
    </w:p>
    <w:p w14:paraId="3412CAE8"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l'art. 1 comma 557 della legge 296/2006, per come modificato da ultimo dai D.L. n. 14 e n. 50/2017, il quale dispone che gli enti già sottoposti al patto di stabilità non possono superare la spesa per il personale media del triennio 2011/2013 e non possono per l'anno 2018 effettuare assunzioni a tempo indeterminato per una spesa superiore al 25% di quella per le cessazioni verificatesi nell'anno precedente (si veda la Tabella A)</w:t>
      </w:r>
    </w:p>
    <w:p w14:paraId="4FFEF541" w14:textId="77777777" w:rsidR="000F5C52" w:rsidRPr="008B129E" w:rsidRDefault="000F5C52" w:rsidP="000F5C52">
      <w:pPr>
        <w:jc w:val="both"/>
        <w:rPr>
          <w:rFonts w:ascii="Times New Roman" w:hAnsi="Times New Roman"/>
          <w:sz w:val="22"/>
          <w:szCs w:val="22"/>
        </w:rPr>
      </w:pPr>
    </w:p>
    <w:p w14:paraId="0313A9B1"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TABELLA   A</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20"/>
        <w:gridCol w:w="2284"/>
        <w:gridCol w:w="2127"/>
      </w:tblGrid>
      <w:tr w:rsidR="000F5C52" w:rsidRPr="008B129E" w14:paraId="261E6892" w14:textId="77777777" w:rsidTr="00AF6439">
        <w:trPr>
          <w:jc w:val="center"/>
        </w:trPr>
        <w:tc>
          <w:tcPr>
            <w:tcW w:w="4520" w:type="dxa"/>
            <w:tcBorders>
              <w:top w:val="single" w:sz="1" w:space="0" w:color="000000"/>
              <w:left w:val="single" w:sz="1" w:space="0" w:color="000000"/>
              <w:bottom w:val="single" w:sz="1" w:space="0" w:color="000000"/>
            </w:tcBorders>
          </w:tcPr>
          <w:p w14:paraId="24618E12" w14:textId="77777777" w:rsidR="000F5C52" w:rsidRPr="008B129E" w:rsidRDefault="000F5C52" w:rsidP="00AF6439">
            <w:pPr>
              <w:pStyle w:val="Contenutotabella"/>
              <w:rPr>
                <w:sz w:val="22"/>
                <w:szCs w:val="22"/>
              </w:rPr>
            </w:pPr>
          </w:p>
        </w:tc>
        <w:tc>
          <w:tcPr>
            <w:tcW w:w="2284" w:type="dxa"/>
            <w:tcBorders>
              <w:top w:val="single" w:sz="1" w:space="0" w:color="000000"/>
              <w:left w:val="single" w:sz="1" w:space="0" w:color="000000"/>
              <w:bottom w:val="single" w:sz="1" w:space="0" w:color="000000"/>
              <w:right w:val="single" w:sz="1" w:space="0" w:color="000000"/>
            </w:tcBorders>
          </w:tcPr>
          <w:p w14:paraId="4D9406CE" w14:textId="77777777" w:rsidR="000F5C52" w:rsidRPr="008B129E" w:rsidRDefault="000F5C52" w:rsidP="00AF6439">
            <w:pPr>
              <w:pStyle w:val="Contenutotabella"/>
              <w:snapToGrid w:val="0"/>
              <w:jc w:val="center"/>
              <w:rPr>
                <w:b/>
                <w:sz w:val="22"/>
                <w:szCs w:val="22"/>
              </w:rPr>
            </w:pPr>
            <w:r w:rsidRPr="008B129E">
              <w:rPr>
                <w:b/>
                <w:sz w:val="22"/>
                <w:szCs w:val="22"/>
              </w:rPr>
              <w:t>MEDIA 2011/2013</w:t>
            </w:r>
          </w:p>
        </w:tc>
        <w:tc>
          <w:tcPr>
            <w:tcW w:w="2127" w:type="dxa"/>
            <w:tcBorders>
              <w:top w:val="single" w:sz="1" w:space="0" w:color="000000"/>
              <w:left w:val="single" w:sz="1" w:space="0" w:color="000000"/>
              <w:bottom w:val="single" w:sz="1" w:space="0" w:color="000000"/>
              <w:right w:val="single" w:sz="1" w:space="0" w:color="000000"/>
            </w:tcBorders>
          </w:tcPr>
          <w:p w14:paraId="42D5FB81" w14:textId="77777777" w:rsidR="000F5C52" w:rsidRPr="008B129E" w:rsidRDefault="000F5C52" w:rsidP="00AF6439">
            <w:pPr>
              <w:pStyle w:val="Contenutotabella"/>
              <w:snapToGrid w:val="0"/>
              <w:rPr>
                <w:sz w:val="22"/>
                <w:szCs w:val="22"/>
              </w:rPr>
            </w:pPr>
            <w:r w:rsidRPr="008B129E">
              <w:rPr>
                <w:b/>
                <w:bCs/>
                <w:sz w:val="22"/>
                <w:szCs w:val="22"/>
              </w:rPr>
              <w:t>RENDICONTO 2023</w:t>
            </w:r>
          </w:p>
        </w:tc>
      </w:tr>
      <w:tr w:rsidR="000F5C52" w:rsidRPr="008B129E" w14:paraId="2871F6E6" w14:textId="77777777" w:rsidTr="00AF6439">
        <w:trPr>
          <w:jc w:val="center"/>
        </w:trPr>
        <w:tc>
          <w:tcPr>
            <w:tcW w:w="4520" w:type="dxa"/>
            <w:tcBorders>
              <w:left w:val="single" w:sz="1" w:space="0" w:color="000000"/>
              <w:bottom w:val="single" w:sz="1" w:space="0" w:color="000000"/>
            </w:tcBorders>
          </w:tcPr>
          <w:p w14:paraId="779E614F" w14:textId="77777777" w:rsidR="000F5C52" w:rsidRPr="008B129E" w:rsidRDefault="000F5C52" w:rsidP="00AF6439">
            <w:pPr>
              <w:pStyle w:val="Contenutotabella"/>
              <w:rPr>
                <w:sz w:val="22"/>
                <w:szCs w:val="22"/>
              </w:rPr>
            </w:pPr>
            <w:proofErr w:type="gramStart"/>
            <w:r w:rsidRPr="008B129E">
              <w:rPr>
                <w:sz w:val="22"/>
                <w:szCs w:val="22"/>
              </w:rPr>
              <w:t>SPESE  MACROAGGREGATO</w:t>
            </w:r>
            <w:proofErr w:type="gramEnd"/>
            <w:r w:rsidRPr="008B129E">
              <w:rPr>
                <w:sz w:val="22"/>
                <w:szCs w:val="22"/>
              </w:rPr>
              <w:t xml:space="preserve"> 101</w:t>
            </w:r>
          </w:p>
        </w:tc>
        <w:tc>
          <w:tcPr>
            <w:tcW w:w="2284" w:type="dxa"/>
            <w:tcBorders>
              <w:left w:val="single" w:sz="1" w:space="0" w:color="000000"/>
              <w:bottom w:val="single" w:sz="1" w:space="0" w:color="000000"/>
              <w:right w:val="single" w:sz="1" w:space="0" w:color="000000"/>
            </w:tcBorders>
          </w:tcPr>
          <w:p w14:paraId="1207FD5A" w14:textId="77777777" w:rsidR="000F5C52" w:rsidRPr="008B129E" w:rsidRDefault="000F5C52" w:rsidP="00AF6439">
            <w:pPr>
              <w:pStyle w:val="Contenutotabella"/>
              <w:jc w:val="right"/>
              <w:rPr>
                <w:sz w:val="22"/>
                <w:szCs w:val="22"/>
              </w:rPr>
            </w:pPr>
            <w:r w:rsidRPr="008B129E">
              <w:rPr>
                <w:sz w:val="22"/>
                <w:szCs w:val="22"/>
              </w:rPr>
              <w:t>2.065.066,92</w:t>
            </w:r>
          </w:p>
        </w:tc>
        <w:tc>
          <w:tcPr>
            <w:tcW w:w="2127" w:type="dxa"/>
            <w:tcBorders>
              <w:left w:val="single" w:sz="1" w:space="0" w:color="000000"/>
              <w:bottom w:val="single" w:sz="1" w:space="0" w:color="000000"/>
              <w:right w:val="single" w:sz="1" w:space="0" w:color="000000"/>
            </w:tcBorders>
          </w:tcPr>
          <w:p w14:paraId="578F1DAA" w14:textId="77777777" w:rsidR="000F5C52" w:rsidRPr="008B129E" w:rsidRDefault="000F5C52" w:rsidP="00AF6439">
            <w:pPr>
              <w:pStyle w:val="Contenutotabella"/>
              <w:jc w:val="right"/>
              <w:rPr>
                <w:sz w:val="22"/>
                <w:szCs w:val="22"/>
              </w:rPr>
            </w:pPr>
            <w:r w:rsidRPr="008B129E">
              <w:rPr>
                <w:sz w:val="22"/>
                <w:szCs w:val="22"/>
              </w:rPr>
              <w:t>2.001.661,58</w:t>
            </w:r>
          </w:p>
        </w:tc>
      </w:tr>
      <w:tr w:rsidR="000F5C52" w:rsidRPr="008B129E" w14:paraId="43324133" w14:textId="77777777" w:rsidTr="00AF6439">
        <w:trPr>
          <w:jc w:val="center"/>
        </w:trPr>
        <w:tc>
          <w:tcPr>
            <w:tcW w:w="4520" w:type="dxa"/>
            <w:tcBorders>
              <w:left w:val="single" w:sz="1" w:space="0" w:color="000000"/>
              <w:bottom w:val="single" w:sz="1" w:space="0" w:color="000000"/>
            </w:tcBorders>
          </w:tcPr>
          <w:p w14:paraId="37199DDD" w14:textId="77777777" w:rsidR="000F5C52" w:rsidRPr="008B129E" w:rsidRDefault="000F5C52" w:rsidP="00AF6439">
            <w:pPr>
              <w:pStyle w:val="Contenutotabella"/>
              <w:rPr>
                <w:sz w:val="22"/>
                <w:szCs w:val="22"/>
              </w:rPr>
            </w:pPr>
            <w:r w:rsidRPr="008B129E">
              <w:rPr>
                <w:sz w:val="22"/>
                <w:szCs w:val="22"/>
              </w:rPr>
              <w:t>SPESE MACROAGGREGATO 103</w:t>
            </w:r>
          </w:p>
        </w:tc>
        <w:tc>
          <w:tcPr>
            <w:tcW w:w="2284" w:type="dxa"/>
            <w:tcBorders>
              <w:left w:val="single" w:sz="1" w:space="0" w:color="000000"/>
              <w:bottom w:val="single" w:sz="1" w:space="0" w:color="000000"/>
              <w:right w:val="single" w:sz="1" w:space="0" w:color="000000"/>
            </w:tcBorders>
          </w:tcPr>
          <w:p w14:paraId="6CC9E5A0" w14:textId="77777777" w:rsidR="000F5C52" w:rsidRPr="008B129E" w:rsidRDefault="000F5C52" w:rsidP="00AF6439">
            <w:pPr>
              <w:pStyle w:val="Contenutotabella"/>
              <w:jc w:val="right"/>
              <w:rPr>
                <w:sz w:val="22"/>
                <w:szCs w:val="22"/>
              </w:rPr>
            </w:pPr>
            <w:r w:rsidRPr="008B129E">
              <w:rPr>
                <w:sz w:val="22"/>
                <w:szCs w:val="22"/>
              </w:rPr>
              <w:t>47.704,29</w:t>
            </w:r>
          </w:p>
        </w:tc>
        <w:tc>
          <w:tcPr>
            <w:tcW w:w="2127" w:type="dxa"/>
            <w:tcBorders>
              <w:left w:val="single" w:sz="1" w:space="0" w:color="000000"/>
              <w:bottom w:val="single" w:sz="1" w:space="0" w:color="000000"/>
              <w:right w:val="single" w:sz="1" w:space="0" w:color="000000"/>
            </w:tcBorders>
          </w:tcPr>
          <w:p w14:paraId="187B09C3" w14:textId="77777777" w:rsidR="000F5C52" w:rsidRPr="008B129E" w:rsidRDefault="000F5C52" w:rsidP="00AF6439">
            <w:pPr>
              <w:pStyle w:val="Contenutotabella"/>
              <w:jc w:val="right"/>
              <w:rPr>
                <w:sz w:val="22"/>
                <w:szCs w:val="22"/>
              </w:rPr>
            </w:pPr>
            <w:r w:rsidRPr="008B129E">
              <w:rPr>
                <w:sz w:val="22"/>
                <w:szCs w:val="22"/>
              </w:rPr>
              <w:t>20.000,00</w:t>
            </w:r>
          </w:p>
        </w:tc>
      </w:tr>
      <w:tr w:rsidR="000F5C52" w:rsidRPr="008B129E" w14:paraId="15FB62ED" w14:textId="77777777" w:rsidTr="00AF6439">
        <w:trPr>
          <w:jc w:val="center"/>
        </w:trPr>
        <w:tc>
          <w:tcPr>
            <w:tcW w:w="4520" w:type="dxa"/>
            <w:tcBorders>
              <w:left w:val="single" w:sz="1" w:space="0" w:color="000000"/>
              <w:bottom w:val="single" w:sz="1" w:space="0" w:color="000000"/>
            </w:tcBorders>
          </w:tcPr>
          <w:p w14:paraId="79FC26AD" w14:textId="77777777" w:rsidR="000F5C52" w:rsidRPr="008B129E" w:rsidRDefault="000F5C52" w:rsidP="00AF6439">
            <w:pPr>
              <w:pStyle w:val="Contenutotabella"/>
              <w:rPr>
                <w:sz w:val="22"/>
                <w:szCs w:val="22"/>
              </w:rPr>
            </w:pPr>
            <w:r w:rsidRPr="008B129E">
              <w:rPr>
                <w:sz w:val="22"/>
                <w:szCs w:val="22"/>
              </w:rPr>
              <w:t>IRAP MACROAGGREGATO 102</w:t>
            </w:r>
          </w:p>
        </w:tc>
        <w:tc>
          <w:tcPr>
            <w:tcW w:w="2284" w:type="dxa"/>
            <w:tcBorders>
              <w:left w:val="single" w:sz="1" w:space="0" w:color="000000"/>
              <w:bottom w:val="single" w:sz="1" w:space="0" w:color="000000"/>
              <w:right w:val="single" w:sz="1" w:space="0" w:color="000000"/>
            </w:tcBorders>
          </w:tcPr>
          <w:p w14:paraId="5964C34A" w14:textId="77777777" w:rsidR="000F5C52" w:rsidRPr="008B129E" w:rsidRDefault="000F5C52" w:rsidP="00AF6439">
            <w:pPr>
              <w:pStyle w:val="Contenutotabella"/>
              <w:jc w:val="right"/>
              <w:rPr>
                <w:sz w:val="22"/>
                <w:szCs w:val="22"/>
              </w:rPr>
            </w:pPr>
            <w:r w:rsidRPr="008B129E">
              <w:rPr>
                <w:sz w:val="22"/>
                <w:szCs w:val="22"/>
              </w:rPr>
              <w:t>133.356,65</w:t>
            </w:r>
          </w:p>
        </w:tc>
        <w:tc>
          <w:tcPr>
            <w:tcW w:w="2127" w:type="dxa"/>
            <w:tcBorders>
              <w:left w:val="single" w:sz="1" w:space="0" w:color="000000"/>
              <w:bottom w:val="single" w:sz="1" w:space="0" w:color="000000"/>
              <w:right w:val="single" w:sz="1" w:space="0" w:color="000000"/>
            </w:tcBorders>
          </w:tcPr>
          <w:p w14:paraId="09A4E53F" w14:textId="77777777" w:rsidR="000F5C52" w:rsidRPr="008B129E" w:rsidRDefault="000F5C52" w:rsidP="00AF6439">
            <w:pPr>
              <w:pStyle w:val="Contenutotabella"/>
              <w:jc w:val="right"/>
              <w:rPr>
                <w:sz w:val="22"/>
                <w:szCs w:val="22"/>
              </w:rPr>
            </w:pPr>
            <w:r w:rsidRPr="008B129E">
              <w:rPr>
                <w:sz w:val="22"/>
                <w:szCs w:val="22"/>
              </w:rPr>
              <w:t>139.869,47</w:t>
            </w:r>
          </w:p>
        </w:tc>
      </w:tr>
      <w:tr w:rsidR="000F5C52" w:rsidRPr="008B129E" w14:paraId="73B5B069" w14:textId="77777777" w:rsidTr="00AF6439">
        <w:trPr>
          <w:jc w:val="center"/>
        </w:trPr>
        <w:tc>
          <w:tcPr>
            <w:tcW w:w="4520" w:type="dxa"/>
            <w:tcBorders>
              <w:left w:val="single" w:sz="1" w:space="0" w:color="000000"/>
              <w:bottom w:val="single" w:sz="1" w:space="0" w:color="000000"/>
            </w:tcBorders>
          </w:tcPr>
          <w:p w14:paraId="680EEB0C" w14:textId="77777777" w:rsidR="000F5C52" w:rsidRPr="008B129E" w:rsidRDefault="000F5C52" w:rsidP="00AF6439">
            <w:pPr>
              <w:pStyle w:val="Contenutotabella"/>
              <w:rPr>
                <w:sz w:val="22"/>
                <w:szCs w:val="22"/>
              </w:rPr>
            </w:pPr>
            <w:r w:rsidRPr="008B129E">
              <w:rPr>
                <w:sz w:val="22"/>
                <w:szCs w:val="22"/>
              </w:rPr>
              <w:t>Totale spese di personale</w:t>
            </w:r>
          </w:p>
        </w:tc>
        <w:tc>
          <w:tcPr>
            <w:tcW w:w="2284" w:type="dxa"/>
            <w:tcBorders>
              <w:left w:val="single" w:sz="1" w:space="0" w:color="000000"/>
              <w:bottom w:val="single" w:sz="1" w:space="0" w:color="000000"/>
              <w:right w:val="single" w:sz="1" w:space="0" w:color="000000"/>
            </w:tcBorders>
          </w:tcPr>
          <w:p w14:paraId="1F5C1A1B" w14:textId="77777777" w:rsidR="000F5C52" w:rsidRPr="008B129E" w:rsidRDefault="000F5C52" w:rsidP="00AF6439">
            <w:pPr>
              <w:pStyle w:val="Contenutotabella"/>
              <w:jc w:val="right"/>
              <w:rPr>
                <w:sz w:val="22"/>
                <w:szCs w:val="22"/>
              </w:rPr>
            </w:pPr>
            <w:r w:rsidRPr="008B129E">
              <w:rPr>
                <w:sz w:val="22"/>
                <w:szCs w:val="22"/>
              </w:rPr>
              <w:t>2.246.127,86</w:t>
            </w:r>
          </w:p>
        </w:tc>
        <w:tc>
          <w:tcPr>
            <w:tcW w:w="2127" w:type="dxa"/>
            <w:tcBorders>
              <w:left w:val="single" w:sz="1" w:space="0" w:color="000000"/>
              <w:bottom w:val="single" w:sz="1" w:space="0" w:color="000000"/>
              <w:right w:val="single" w:sz="1" w:space="0" w:color="000000"/>
            </w:tcBorders>
          </w:tcPr>
          <w:p w14:paraId="2B62431E" w14:textId="77777777" w:rsidR="000F5C52" w:rsidRPr="008B129E" w:rsidRDefault="000F5C52" w:rsidP="00AF6439">
            <w:pPr>
              <w:pStyle w:val="Contenutotabella"/>
              <w:jc w:val="right"/>
              <w:rPr>
                <w:sz w:val="22"/>
                <w:szCs w:val="22"/>
              </w:rPr>
            </w:pPr>
            <w:r w:rsidRPr="008B129E">
              <w:rPr>
                <w:sz w:val="22"/>
                <w:szCs w:val="22"/>
              </w:rPr>
              <w:t>2.161.531,05</w:t>
            </w:r>
          </w:p>
        </w:tc>
      </w:tr>
      <w:tr w:rsidR="000F5C52" w:rsidRPr="008B129E" w14:paraId="696BCF36" w14:textId="77777777" w:rsidTr="00AF6439">
        <w:trPr>
          <w:jc w:val="center"/>
        </w:trPr>
        <w:tc>
          <w:tcPr>
            <w:tcW w:w="4520" w:type="dxa"/>
            <w:tcBorders>
              <w:left w:val="single" w:sz="1" w:space="0" w:color="000000"/>
              <w:bottom w:val="single" w:sz="1" w:space="0" w:color="000000"/>
            </w:tcBorders>
          </w:tcPr>
          <w:p w14:paraId="1C3D962C" w14:textId="77777777" w:rsidR="000F5C52" w:rsidRPr="008B129E" w:rsidRDefault="000F5C52" w:rsidP="00AF6439">
            <w:pPr>
              <w:pStyle w:val="Contenutotabella"/>
              <w:rPr>
                <w:sz w:val="22"/>
                <w:szCs w:val="22"/>
              </w:rPr>
            </w:pPr>
            <w:r w:rsidRPr="008B129E">
              <w:rPr>
                <w:sz w:val="22"/>
                <w:szCs w:val="22"/>
              </w:rPr>
              <w:t>COMPONENTI ESCLUSE (-)</w:t>
            </w:r>
          </w:p>
        </w:tc>
        <w:tc>
          <w:tcPr>
            <w:tcW w:w="2284" w:type="dxa"/>
            <w:tcBorders>
              <w:left w:val="single" w:sz="1" w:space="0" w:color="000000"/>
              <w:bottom w:val="single" w:sz="1" w:space="0" w:color="000000"/>
              <w:right w:val="single" w:sz="1" w:space="0" w:color="000000"/>
            </w:tcBorders>
          </w:tcPr>
          <w:p w14:paraId="01B6CA5D" w14:textId="77777777" w:rsidR="000F5C52" w:rsidRPr="008B129E" w:rsidRDefault="000F5C52" w:rsidP="00AF6439">
            <w:pPr>
              <w:pStyle w:val="Contenutotabella"/>
              <w:jc w:val="right"/>
              <w:rPr>
                <w:sz w:val="22"/>
                <w:szCs w:val="22"/>
              </w:rPr>
            </w:pPr>
            <w:r w:rsidRPr="008B129E">
              <w:rPr>
                <w:sz w:val="22"/>
                <w:szCs w:val="22"/>
              </w:rPr>
              <w:t>103.117,73</w:t>
            </w:r>
          </w:p>
        </w:tc>
        <w:tc>
          <w:tcPr>
            <w:tcW w:w="2127" w:type="dxa"/>
            <w:tcBorders>
              <w:left w:val="single" w:sz="1" w:space="0" w:color="000000"/>
              <w:bottom w:val="single" w:sz="1" w:space="0" w:color="000000"/>
              <w:right w:val="single" w:sz="1" w:space="0" w:color="000000"/>
            </w:tcBorders>
          </w:tcPr>
          <w:p w14:paraId="5C7E03FC" w14:textId="77777777" w:rsidR="000F5C52" w:rsidRPr="008B129E" w:rsidRDefault="000F5C52" w:rsidP="00AF6439">
            <w:pPr>
              <w:pStyle w:val="Contenutotabella"/>
              <w:jc w:val="right"/>
              <w:rPr>
                <w:sz w:val="22"/>
                <w:szCs w:val="22"/>
              </w:rPr>
            </w:pPr>
            <w:r w:rsidRPr="008B129E">
              <w:rPr>
                <w:sz w:val="22"/>
                <w:szCs w:val="22"/>
              </w:rPr>
              <w:t>555.623,35</w:t>
            </w:r>
          </w:p>
        </w:tc>
      </w:tr>
      <w:tr w:rsidR="000F5C52" w:rsidRPr="008B129E" w14:paraId="4627C4DF" w14:textId="77777777" w:rsidTr="00AF6439">
        <w:trPr>
          <w:jc w:val="center"/>
        </w:trPr>
        <w:tc>
          <w:tcPr>
            <w:tcW w:w="4520" w:type="dxa"/>
            <w:tcBorders>
              <w:left w:val="single" w:sz="1" w:space="0" w:color="000000"/>
              <w:bottom w:val="single" w:sz="1" w:space="0" w:color="000000"/>
            </w:tcBorders>
          </w:tcPr>
          <w:p w14:paraId="67F93457" w14:textId="77777777" w:rsidR="000F5C52" w:rsidRPr="008B129E" w:rsidRDefault="000F5C52" w:rsidP="00AF6439">
            <w:pPr>
              <w:pStyle w:val="Contenutotabella"/>
              <w:rPr>
                <w:sz w:val="22"/>
                <w:szCs w:val="22"/>
              </w:rPr>
            </w:pPr>
            <w:r w:rsidRPr="008B129E">
              <w:rPr>
                <w:sz w:val="22"/>
                <w:szCs w:val="22"/>
              </w:rPr>
              <w:t>MAGGIOR SPESA PERS. TEMPO INDET.ARTT.4-5 DM 17.3.2020 E ALTRE COMPON.ESCLUSE (-)</w:t>
            </w:r>
          </w:p>
        </w:tc>
        <w:tc>
          <w:tcPr>
            <w:tcW w:w="2284" w:type="dxa"/>
            <w:tcBorders>
              <w:left w:val="single" w:sz="1" w:space="0" w:color="000000"/>
              <w:bottom w:val="single" w:sz="1" w:space="0" w:color="000000"/>
              <w:right w:val="single" w:sz="1" w:space="0" w:color="000000"/>
            </w:tcBorders>
          </w:tcPr>
          <w:p w14:paraId="5E59D2C2" w14:textId="77777777" w:rsidR="000F5C52" w:rsidRPr="008B129E" w:rsidRDefault="000F5C52" w:rsidP="00AF6439">
            <w:pPr>
              <w:pStyle w:val="Contenutotabella"/>
              <w:jc w:val="right"/>
              <w:rPr>
                <w:sz w:val="22"/>
                <w:szCs w:val="22"/>
              </w:rPr>
            </w:pPr>
            <w:r w:rsidRPr="008B129E">
              <w:rPr>
                <w:sz w:val="22"/>
                <w:szCs w:val="22"/>
              </w:rPr>
              <w:t>143.514,33</w:t>
            </w:r>
          </w:p>
        </w:tc>
        <w:tc>
          <w:tcPr>
            <w:tcW w:w="2127" w:type="dxa"/>
            <w:tcBorders>
              <w:left w:val="single" w:sz="1" w:space="0" w:color="000000"/>
              <w:bottom w:val="single" w:sz="1" w:space="0" w:color="000000"/>
              <w:right w:val="single" w:sz="1" w:space="0" w:color="000000"/>
            </w:tcBorders>
          </w:tcPr>
          <w:p w14:paraId="36F73E8F" w14:textId="77777777" w:rsidR="000F5C52" w:rsidRPr="008B129E" w:rsidRDefault="000F5C52" w:rsidP="00AF6439">
            <w:pPr>
              <w:pStyle w:val="Contenutotabella"/>
              <w:jc w:val="right"/>
              <w:rPr>
                <w:sz w:val="22"/>
                <w:szCs w:val="22"/>
              </w:rPr>
            </w:pPr>
          </w:p>
        </w:tc>
      </w:tr>
      <w:tr w:rsidR="000F5C52" w:rsidRPr="008B129E" w14:paraId="64213971" w14:textId="77777777" w:rsidTr="00AF6439">
        <w:trPr>
          <w:jc w:val="center"/>
        </w:trPr>
        <w:tc>
          <w:tcPr>
            <w:tcW w:w="4520" w:type="dxa"/>
            <w:tcBorders>
              <w:left w:val="single" w:sz="1" w:space="0" w:color="000000"/>
              <w:bottom w:val="single" w:sz="1" w:space="0" w:color="000000"/>
            </w:tcBorders>
          </w:tcPr>
          <w:p w14:paraId="7EB87F71" w14:textId="77777777" w:rsidR="000F5C52" w:rsidRPr="008B129E" w:rsidRDefault="000F5C52" w:rsidP="00AF6439">
            <w:pPr>
              <w:pStyle w:val="Contenutotabella"/>
              <w:rPr>
                <w:sz w:val="22"/>
                <w:szCs w:val="22"/>
              </w:rPr>
            </w:pPr>
            <w:r w:rsidRPr="008B129E">
              <w:rPr>
                <w:sz w:val="22"/>
                <w:szCs w:val="22"/>
              </w:rPr>
              <w:t>COMPONENTI ASSOGGETTATE AL LIMITE DI SPESA a-b</w:t>
            </w:r>
          </w:p>
        </w:tc>
        <w:tc>
          <w:tcPr>
            <w:tcW w:w="2284" w:type="dxa"/>
            <w:tcBorders>
              <w:left w:val="single" w:sz="1" w:space="0" w:color="000000"/>
              <w:bottom w:val="single" w:sz="1" w:space="0" w:color="000000"/>
              <w:right w:val="single" w:sz="1" w:space="0" w:color="000000"/>
            </w:tcBorders>
          </w:tcPr>
          <w:p w14:paraId="06FE097E" w14:textId="77777777" w:rsidR="000F5C52" w:rsidRPr="008B129E" w:rsidRDefault="000F5C52" w:rsidP="00AF6439">
            <w:pPr>
              <w:pStyle w:val="Contenutotabella"/>
              <w:jc w:val="right"/>
              <w:rPr>
                <w:sz w:val="22"/>
                <w:szCs w:val="22"/>
              </w:rPr>
            </w:pPr>
            <w:r w:rsidRPr="008B129E">
              <w:rPr>
                <w:sz w:val="22"/>
                <w:szCs w:val="22"/>
              </w:rPr>
              <w:t>1.999.495,80</w:t>
            </w:r>
          </w:p>
        </w:tc>
        <w:tc>
          <w:tcPr>
            <w:tcW w:w="2127" w:type="dxa"/>
            <w:tcBorders>
              <w:left w:val="single" w:sz="1" w:space="0" w:color="000000"/>
              <w:bottom w:val="single" w:sz="1" w:space="0" w:color="000000"/>
              <w:right w:val="single" w:sz="1" w:space="0" w:color="000000"/>
            </w:tcBorders>
          </w:tcPr>
          <w:p w14:paraId="5ABEC891" w14:textId="77777777" w:rsidR="000F5C52" w:rsidRPr="008B129E" w:rsidRDefault="000F5C52" w:rsidP="00AF6439">
            <w:pPr>
              <w:pStyle w:val="Contenutotabella"/>
              <w:jc w:val="right"/>
              <w:rPr>
                <w:sz w:val="22"/>
                <w:szCs w:val="22"/>
              </w:rPr>
            </w:pPr>
            <w:r w:rsidRPr="008B129E">
              <w:rPr>
                <w:sz w:val="22"/>
                <w:szCs w:val="22"/>
              </w:rPr>
              <w:t>1.605.907,70</w:t>
            </w:r>
          </w:p>
        </w:tc>
      </w:tr>
    </w:tbl>
    <w:p w14:paraId="69A58AED" w14:textId="77777777" w:rsidR="000F5C52" w:rsidRPr="008B129E" w:rsidRDefault="000F5C52" w:rsidP="000F5C52">
      <w:pPr>
        <w:jc w:val="both"/>
        <w:rPr>
          <w:rFonts w:ascii="Times New Roman" w:hAnsi="Times New Roman"/>
          <w:sz w:val="22"/>
          <w:szCs w:val="22"/>
        </w:rPr>
      </w:pPr>
    </w:p>
    <w:p w14:paraId="0ECF8F00"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le ulteriori condizioni limitative in materia di assunzioni sono stabilite dall'art. 9, comma 1 quinquies del D.L. 113/2016 (convertito in legge, con modificazioni dalla legge 160/2016), in base al quale in caso di mancato rispetto dei termini previsti per l'approvazione dei bilanci di previsione, dei rendiconti e del bilancio consolidato e del termine di trenta giorni dalla loro approvazione per l'invio dei relativi dati alla banca dati delle amministrazioni pubbliche di cui all'art. 13 della legge 31 dicembre 2009, n. 196, non possono procedere ad assunzioni di personale a qualsiasi titolo; e inoltre l'art. 1 comma 723 della Legge 28/12/2015 n. 208 prevede, in caso di mancato conseguimento del saldo di cui al comma 710 nell'anno successivo a quello dell'inadempienza, il divieto di procedere ad assunzioni di personale a qualsiasi titolo, con qualsivoglia tipologia contrattuale.</w:t>
      </w:r>
    </w:p>
    <w:p w14:paraId="4BADB1DD"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il D.L. n. 4 del 2019, convertito con modificazioni dalla L. 28 marzo 2019 n. 56, che ha previsto che le Regioni e gli Enti locali possono computare, ai fini della determinazione delle proprie capacità assunzionali per ciascuna annualità, sia le cessazioni dal servizio del personale di ruolo verificatesi nell'anno precedente, sia quelle programmate nella medesima annualità, fermo restando che le assunzioni possono essere effettuate soltanto a seguito delle cessazioni che producono il relativo turn-over.</w:t>
      </w:r>
    </w:p>
    <w:p w14:paraId="618D5455"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 la L. n. 26 del 28 marzo 2019, che ha modificato il comma 5 dell'art. 3 del </w:t>
      </w:r>
      <w:proofErr w:type="spellStart"/>
      <w:r w:rsidRPr="008B129E">
        <w:rPr>
          <w:rFonts w:ascii="Times New Roman" w:hAnsi="Times New Roman"/>
          <w:sz w:val="22"/>
          <w:szCs w:val="22"/>
        </w:rPr>
        <w:t>d.L.</w:t>
      </w:r>
      <w:proofErr w:type="spellEnd"/>
      <w:r w:rsidRPr="008B129E">
        <w:rPr>
          <w:rFonts w:ascii="Times New Roman" w:hAnsi="Times New Roman"/>
          <w:sz w:val="22"/>
          <w:szCs w:val="22"/>
        </w:rPr>
        <w:t xml:space="preserve"> n. 90 del 2014 e ai fini del computo dei resti assunzionali non utilizzati, ha permesso di effettuare il calcolo sui cinque anni precedenti e non solo nel triennio precedente, in altri termini, a partire dall'anno 2019 gli enti locali potranno utilizzare le capacità assunzionali del quinquennio precedente, non utilizzati in questi anni, e riferite alle cessazioni di personale avvenute nell'anno precedente alle medesime.</w:t>
      </w:r>
    </w:p>
    <w:p w14:paraId="05E9340C"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L. n. 56/2019 (c.d. “legge concretezza”), art. 3 comma 8, secondo cui “</w:t>
      </w:r>
      <w:r w:rsidRPr="008B129E">
        <w:rPr>
          <w:rFonts w:ascii="Times New Roman" w:hAnsi="Times New Roman"/>
          <w:i/>
          <w:iCs/>
          <w:sz w:val="22"/>
          <w:szCs w:val="22"/>
        </w:rPr>
        <w:t>Fatto salvo quanto stabilito dall'art. 1, comma 399, della legge 30 dicembre 2018, n. 145, al fine di ridurre i tempi di accesso al pubblico impiego, nel triennio 2019-2021, le procedure concorsuali bandite dalle pubbliche amministrazioni di cui all'art. 1, comma 2, del decreto legislativo 30 marzo 2001, n. 165, e le conseguenti assunzioni possono essere effettuate senza il previo svolgimento delle procedure previste dall'art. 30 del medesimo decreto legislativo n. 165 del 2001</w:t>
      </w:r>
      <w:r w:rsidRPr="008B129E">
        <w:rPr>
          <w:rFonts w:ascii="Times New Roman" w:hAnsi="Times New Roman"/>
          <w:sz w:val="22"/>
          <w:szCs w:val="22"/>
        </w:rPr>
        <w:t>”.</w:t>
      </w:r>
    </w:p>
    <w:p w14:paraId="5E7E6ACD"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il c.d. Decreto Crescita (</w:t>
      </w:r>
      <w:proofErr w:type="spellStart"/>
      <w:r w:rsidRPr="008B129E">
        <w:rPr>
          <w:rFonts w:ascii="Times New Roman" w:hAnsi="Times New Roman"/>
          <w:sz w:val="22"/>
          <w:szCs w:val="22"/>
        </w:rPr>
        <w:t>D.L.n</w:t>
      </w:r>
      <w:proofErr w:type="spellEnd"/>
      <w:r w:rsidRPr="008B129E">
        <w:rPr>
          <w:rFonts w:ascii="Times New Roman" w:hAnsi="Times New Roman"/>
          <w:sz w:val="22"/>
          <w:szCs w:val="22"/>
        </w:rPr>
        <w:t>. 34/2019), all'art.33, ha introdotto una modifica significativa della disciplina relativa alle facoltà assunzionali dei Comuni, prevedendo il superamento delle attuali regole fondate sul turn-over e l'introduzione di un sistema maggiormente flessibile, basato sulla sostenibilità finanziaria della spesa di personale.</w:t>
      </w:r>
    </w:p>
    <w:p w14:paraId="32D42E63"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lastRenderedPageBreak/>
        <w:t>A seguito di intesa in Conferenza Stato-città in data 11 dicembre 2019 e tenuto conto di quanto deliberato dalla Conferenza medesima in data 30 gennaio 2020, è stato adottato il decreto del Presidente del Consiglio dei Ministri 17 marzo 2020 recante misure per la definizione delle capacità assunzionali di personale a tempo indeterminato dei comuni, disponendo specificatamente l'entrata in vigore del provvedimento a decorrere dal 20 aprile 2020,in luogo della data del 1° Gennaio 2020 come previsto inizialmente, al fine di così regolare meglio il passaggio al nuovo regime.</w:t>
      </w:r>
    </w:p>
    <w:p w14:paraId="110465BB"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All'art. 3 il decreto differenzia i Comuni per fascia demografica, includendo </w:t>
      </w:r>
      <w:proofErr w:type="gramStart"/>
      <w:r w:rsidRPr="008B129E">
        <w:rPr>
          <w:rFonts w:ascii="Times New Roman" w:hAnsi="Times New Roman"/>
          <w:sz w:val="22"/>
          <w:szCs w:val="22"/>
        </w:rPr>
        <w:t>i  Comuni</w:t>
      </w:r>
      <w:proofErr w:type="gramEnd"/>
      <w:r w:rsidRPr="008B129E">
        <w:rPr>
          <w:rFonts w:ascii="Times New Roman" w:hAnsi="Times New Roman"/>
          <w:sz w:val="22"/>
          <w:szCs w:val="22"/>
        </w:rPr>
        <w:t xml:space="preserve"> con popolazione da 10.000 a 59.999 abitanti nella lettera f), come il Comune di San Gregorio di Catania che registra una popolazione di circa 12.000 abitanti.</w:t>
      </w:r>
    </w:p>
    <w:p w14:paraId="70BF81A2"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In attuazione dell'art. 33, comma 2, del decreto-legge n. 34 del 2019, l’art. 4 del </w:t>
      </w:r>
      <w:proofErr w:type="spellStart"/>
      <w:r w:rsidRPr="008B129E">
        <w:rPr>
          <w:rFonts w:ascii="Times New Roman" w:hAnsi="Times New Roman"/>
          <w:sz w:val="22"/>
          <w:szCs w:val="22"/>
        </w:rPr>
        <w:t>dPCM</w:t>
      </w:r>
      <w:proofErr w:type="spellEnd"/>
      <w:r w:rsidRPr="008B129E">
        <w:rPr>
          <w:rFonts w:ascii="Times New Roman" w:hAnsi="Times New Roman"/>
          <w:sz w:val="22"/>
          <w:szCs w:val="22"/>
        </w:rPr>
        <w:t xml:space="preserve"> individua i valori soglia per fascia demografica del rapporto della spesa del personale dei Comuni rispetto alle entrate correnti, e si può rilevare che i Comuni rientranti nella fascia demografica f) hanno un valore soglia del 27%, mentre l’art. 6 definisce i valori soglia di rientro della maggiore spesa del personale che i Comuni rientranti nella fascia demografica f) risulta fissato nel 31%.</w:t>
      </w:r>
    </w:p>
    <w:p w14:paraId="7DDD27B9"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Orbene, sulla scorta della situazione attuale il comune è stato inserito nella fascia degli enti intermedi, per cui può utilizzare le proprie capacità assunzionali a condizione che non peggiori il rapporto tra spesa del personale ed entrate correnti calcolato come detto in precedenza rispetto all’anno precedente</w:t>
      </w:r>
    </w:p>
    <w:p w14:paraId="2849D86C"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A chiarire alcuni aspetti non particolarmente chiari del decreto è la circolare del 9/05/2020 a firma dei Ministri della Pubblica Amministrazione, dell'Economia e delle Finanze e dell'Interno.</w:t>
      </w:r>
    </w:p>
    <w:p w14:paraId="34007696"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Preliminarmente essa precisa che il nuovo regime sulla determinazione della capacità assunzionale dei Comuni si applica a decorrere dal 20 aprile 2020 e che, con riferimento al solo anno 2020, possono essere fatte salve le procedure assunzionali, purché siano state effettuate entro il 20 aprile 2020 le comunicazioni ex art. 34 bis del D. Lgs. n. 165/2001 e </w:t>
      </w:r>
      <w:proofErr w:type="spellStart"/>
      <w:r w:rsidRPr="008B129E">
        <w:rPr>
          <w:rFonts w:ascii="Times New Roman" w:hAnsi="Times New Roman"/>
          <w:sz w:val="22"/>
          <w:szCs w:val="22"/>
        </w:rPr>
        <w:t>s.m.i.</w:t>
      </w:r>
      <w:proofErr w:type="spellEnd"/>
      <w:r w:rsidRPr="008B129E">
        <w:rPr>
          <w:rFonts w:ascii="Times New Roman" w:hAnsi="Times New Roman"/>
          <w:sz w:val="22"/>
          <w:szCs w:val="22"/>
        </w:rPr>
        <w:t>, sulla base dei piani triennali del fabbisogno.</w:t>
      </w:r>
    </w:p>
    <w:p w14:paraId="10D219AF"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La circolare attuativa individua all'art. 1.2 le voci di spesa del personale che devono essere inserire nel calcolo della spesa da rapportare alla media delle entrate correnti degli ultimi tre rendiconti approvati, così come di seguito descritte:</w:t>
      </w:r>
    </w:p>
    <w:p w14:paraId="67300319"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U1.01.00.00.000 Compenso complessivo in denaro o in natura comprensivo dei contributi sociali a carico dei datori di lavoro.</w:t>
      </w:r>
    </w:p>
    <w:p w14:paraId="37F3BC96"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U1.03.02.12.01 Acquisto servizi agenzie di lavoro interinale.</w:t>
      </w:r>
    </w:p>
    <w:p w14:paraId="1C968C8D"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U1.03.02.12.002 Quota LSU in carico all'Ente</w:t>
      </w:r>
    </w:p>
    <w:p w14:paraId="569AD0B1"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U1.03.02.12.003 Collaborazione coordinata e continuata.</w:t>
      </w:r>
    </w:p>
    <w:p w14:paraId="0C44FD7B" w14:textId="77777777" w:rsidR="000F5C52" w:rsidRPr="008B129E" w:rsidRDefault="000F5C52" w:rsidP="000F5C52">
      <w:pPr>
        <w:jc w:val="both"/>
        <w:rPr>
          <w:rFonts w:ascii="Times New Roman" w:hAnsi="Times New Roman"/>
          <w:sz w:val="22"/>
          <w:szCs w:val="22"/>
        </w:rPr>
      </w:pPr>
      <w:proofErr w:type="gramStart"/>
      <w:r w:rsidRPr="008B129E">
        <w:rPr>
          <w:rFonts w:ascii="Times New Roman" w:hAnsi="Times New Roman"/>
          <w:sz w:val="22"/>
          <w:szCs w:val="22"/>
        </w:rPr>
        <w:t>U1.03.02.12.999  Altre</w:t>
      </w:r>
      <w:proofErr w:type="gramEnd"/>
      <w:r w:rsidRPr="008B129E">
        <w:rPr>
          <w:rFonts w:ascii="Times New Roman" w:hAnsi="Times New Roman"/>
          <w:sz w:val="22"/>
          <w:szCs w:val="22"/>
        </w:rPr>
        <w:t xml:space="preserve"> forme di lavoro flessibile.</w:t>
      </w:r>
    </w:p>
    <w:p w14:paraId="4DBD0FBB"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Si considera la spesa del personale relativa all'ultimo Rendiconto di Gestione approvato, che in questo Comune è quello relativo all'annualità 2023, giusta deliberazione consiliare n. </w:t>
      </w:r>
      <w:r w:rsidRPr="008B129E">
        <w:rPr>
          <w:rFonts w:ascii="Times New Roman" w:hAnsi="Times New Roman"/>
          <w:b/>
          <w:bCs/>
          <w:sz w:val="22"/>
          <w:szCs w:val="22"/>
        </w:rPr>
        <w:t xml:space="preserve">57 </w:t>
      </w:r>
      <w:r w:rsidRPr="008B129E">
        <w:rPr>
          <w:rFonts w:ascii="Times New Roman" w:hAnsi="Times New Roman"/>
          <w:sz w:val="22"/>
          <w:szCs w:val="22"/>
        </w:rPr>
        <w:t xml:space="preserve">del </w:t>
      </w:r>
      <w:r w:rsidRPr="008B129E">
        <w:rPr>
          <w:rFonts w:ascii="Times New Roman" w:hAnsi="Times New Roman"/>
          <w:b/>
          <w:bCs/>
          <w:sz w:val="22"/>
          <w:szCs w:val="22"/>
        </w:rPr>
        <w:t>24 ottobre 2024</w:t>
      </w:r>
      <w:r w:rsidRPr="008B129E">
        <w:rPr>
          <w:rFonts w:ascii="Times New Roman" w:hAnsi="Times New Roman"/>
          <w:sz w:val="22"/>
          <w:szCs w:val="22"/>
        </w:rPr>
        <w:t>, che presenta il seguente prospetto della spesa del personale:</w:t>
      </w:r>
    </w:p>
    <w:p w14:paraId="69114DAD" w14:textId="77777777" w:rsidR="000F5C52" w:rsidRPr="008B129E" w:rsidRDefault="000F5C52" w:rsidP="000F5C52">
      <w:pPr>
        <w:jc w:val="both"/>
        <w:rPr>
          <w:rFonts w:ascii="Times New Roman" w:hAnsi="Times New Roman"/>
          <w:sz w:val="22"/>
          <w:szCs w:val="22"/>
        </w:rPr>
      </w:pPr>
    </w:p>
    <w:tbl>
      <w:tblPr>
        <w:tblW w:w="9226" w:type="dxa"/>
        <w:jc w:val="center"/>
        <w:tblLayout w:type="fixed"/>
        <w:tblCellMar>
          <w:top w:w="55" w:type="dxa"/>
          <w:left w:w="55" w:type="dxa"/>
          <w:bottom w:w="55" w:type="dxa"/>
          <w:right w:w="55" w:type="dxa"/>
        </w:tblCellMar>
        <w:tblLook w:val="0000" w:firstRow="0" w:lastRow="0" w:firstColumn="0" w:lastColumn="0" w:noHBand="0" w:noVBand="0"/>
      </w:tblPr>
      <w:tblGrid>
        <w:gridCol w:w="6379"/>
        <w:gridCol w:w="2847"/>
      </w:tblGrid>
      <w:tr w:rsidR="000F5C52" w:rsidRPr="008B129E" w14:paraId="0D1B3BAF" w14:textId="77777777" w:rsidTr="00AF6439">
        <w:trPr>
          <w:jc w:val="center"/>
        </w:trPr>
        <w:tc>
          <w:tcPr>
            <w:tcW w:w="6379" w:type="dxa"/>
            <w:tcBorders>
              <w:top w:val="single" w:sz="1" w:space="0" w:color="000000"/>
              <w:left w:val="single" w:sz="1" w:space="0" w:color="000000"/>
              <w:bottom w:val="single" w:sz="1" w:space="0" w:color="000000"/>
            </w:tcBorders>
          </w:tcPr>
          <w:p w14:paraId="57DDD065" w14:textId="77777777" w:rsidR="000F5C52" w:rsidRPr="008B129E" w:rsidRDefault="000F5C52" w:rsidP="00AF6439">
            <w:pPr>
              <w:pStyle w:val="Contenutotabella"/>
              <w:rPr>
                <w:sz w:val="22"/>
                <w:szCs w:val="22"/>
              </w:rPr>
            </w:pPr>
            <w:r w:rsidRPr="008B129E">
              <w:rPr>
                <w:b/>
                <w:bCs/>
                <w:sz w:val="22"/>
                <w:szCs w:val="22"/>
              </w:rPr>
              <w:t>RENDICONTO 2023</w:t>
            </w:r>
          </w:p>
        </w:tc>
        <w:tc>
          <w:tcPr>
            <w:tcW w:w="2847" w:type="dxa"/>
            <w:tcBorders>
              <w:top w:val="single" w:sz="1" w:space="0" w:color="000000"/>
              <w:left w:val="single" w:sz="1" w:space="0" w:color="000000"/>
              <w:bottom w:val="single" w:sz="1" w:space="0" w:color="000000"/>
              <w:right w:val="single" w:sz="1" w:space="0" w:color="000000"/>
            </w:tcBorders>
          </w:tcPr>
          <w:p w14:paraId="739097C4" w14:textId="77777777" w:rsidR="000F5C52" w:rsidRPr="008B129E" w:rsidRDefault="000F5C52" w:rsidP="00AF6439">
            <w:pPr>
              <w:pStyle w:val="Contenutotabella"/>
              <w:snapToGrid w:val="0"/>
              <w:rPr>
                <w:sz w:val="22"/>
                <w:szCs w:val="22"/>
              </w:rPr>
            </w:pPr>
          </w:p>
        </w:tc>
      </w:tr>
      <w:tr w:rsidR="000F5C52" w:rsidRPr="008B129E" w14:paraId="191FF315" w14:textId="77777777" w:rsidTr="00AF6439">
        <w:trPr>
          <w:jc w:val="center"/>
        </w:trPr>
        <w:tc>
          <w:tcPr>
            <w:tcW w:w="6379" w:type="dxa"/>
            <w:tcBorders>
              <w:left w:val="single" w:sz="1" w:space="0" w:color="000000"/>
              <w:bottom w:val="single" w:sz="1" w:space="0" w:color="000000"/>
            </w:tcBorders>
          </w:tcPr>
          <w:p w14:paraId="68CD5741" w14:textId="77777777" w:rsidR="000F5C52" w:rsidRPr="008B129E" w:rsidRDefault="000F5C52" w:rsidP="00AF6439">
            <w:pPr>
              <w:pStyle w:val="Contenutotabella"/>
              <w:rPr>
                <w:sz w:val="22"/>
                <w:szCs w:val="22"/>
              </w:rPr>
            </w:pPr>
            <w:proofErr w:type="gramStart"/>
            <w:r w:rsidRPr="008B129E">
              <w:rPr>
                <w:sz w:val="22"/>
                <w:szCs w:val="22"/>
              </w:rPr>
              <w:t>SPESE  MACROAGGREGATO</w:t>
            </w:r>
            <w:proofErr w:type="gramEnd"/>
            <w:r w:rsidRPr="008B129E">
              <w:rPr>
                <w:sz w:val="22"/>
                <w:szCs w:val="22"/>
              </w:rPr>
              <w:t xml:space="preserve"> 101</w:t>
            </w:r>
          </w:p>
        </w:tc>
        <w:tc>
          <w:tcPr>
            <w:tcW w:w="2847" w:type="dxa"/>
            <w:tcBorders>
              <w:left w:val="single" w:sz="1" w:space="0" w:color="000000"/>
              <w:bottom w:val="single" w:sz="1" w:space="0" w:color="000000"/>
              <w:right w:val="single" w:sz="1" w:space="0" w:color="000000"/>
            </w:tcBorders>
          </w:tcPr>
          <w:p w14:paraId="289938AC" w14:textId="234B08AF" w:rsidR="000F5C52" w:rsidRPr="008B129E" w:rsidRDefault="000F5C52" w:rsidP="00AF6439">
            <w:pPr>
              <w:pStyle w:val="Contenutotabella"/>
              <w:jc w:val="right"/>
              <w:rPr>
                <w:sz w:val="22"/>
                <w:szCs w:val="22"/>
              </w:rPr>
            </w:pPr>
            <w:r w:rsidRPr="008B129E">
              <w:rPr>
                <w:sz w:val="22"/>
                <w:szCs w:val="22"/>
              </w:rPr>
              <w:t>€ 2.001.661,58</w:t>
            </w:r>
          </w:p>
        </w:tc>
      </w:tr>
      <w:tr w:rsidR="000F5C52" w:rsidRPr="008B129E" w14:paraId="7758FF19" w14:textId="77777777" w:rsidTr="00AF6439">
        <w:trPr>
          <w:jc w:val="center"/>
        </w:trPr>
        <w:tc>
          <w:tcPr>
            <w:tcW w:w="6379" w:type="dxa"/>
            <w:tcBorders>
              <w:left w:val="single" w:sz="1" w:space="0" w:color="000000"/>
              <w:bottom w:val="single" w:sz="1" w:space="0" w:color="000000"/>
            </w:tcBorders>
          </w:tcPr>
          <w:p w14:paraId="79BD22E0" w14:textId="77777777" w:rsidR="000F5C52" w:rsidRPr="008B129E" w:rsidRDefault="000F5C52" w:rsidP="00AF6439">
            <w:pPr>
              <w:pStyle w:val="Contenutotabella"/>
              <w:rPr>
                <w:sz w:val="22"/>
                <w:szCs w:val="22"/>
              </w:rPr>
            </w:pPr>
            <w:r w:rsidRPr="008B129E">
              <w:rPr>
                <w:sz w:val="22"/>
                <w:szCs w:val="22"/>
              </w:rPr>
              <w:t>RIMBORSO SPESE PERS. C/O ALTRE AMMINISTRAZIONI (-)</w:t>
            </w:r>
          </w:p>
        </w:tc>
        <w:tc>
          <w:tcPr>
            <w:tcW w:w="2847" w:type="dxa"/>
            <w:tcBorders>
              <w:left w:val="single" w:sz="1" w:space="0" w:color="000000"/>
              <w:bottom w:val="single" w:sz="1" w:space="0" w:color="000000"/>
              <w:right w:val="single" w:sz="1" w:space="0" w:color="000000"/>
            </w:tcBorders>
          </w:tcPr>
          <w:p w14:paraId="67EFD8B1" w14:textId="666A737D" w:rsidR="000F5C52" w:rsidRPr="008B129E" w:rsidRDefault="000F5C52" w:rsidP="00AF6439">
            <w:pPr>
              <w:pStyle w:val="Contenutotabella"/>
              <w:jc w:val="right"/>
              <w:rPr>
                <w:sz w:val="22"/>
                <w:szCs w:val="22"/>
              </w:rPr>
            </w:pPr>
            <w:r w:rsidRPr="008B129E">
              <w:rPr>
                <w:sz w:val="22"/>
                <w:szCs w:val="22"/>
              </w:rPr>
              <w:t>€    111.842,35</w:t>
            </w:r>
          </w:p>
        </w:tc>
      </w:tr>
      <w:tr w:rsidR="000F5C52" w:rsidRPr="008B129E" w14:paraId="1C7A3D7C" w14:textId="77777777" w:rsidTr="00AF6439">
        <w:trPr>
          <w:jc w:val="center"/>
        </w:trPr>
        <w:tc>
          <w:tcPr>
            <w:tcW w:w="6379" w:type="dxa"/>
            <w:tcBorders>
              <w:left w:val="single" w:sz="1" w:space="0" w:color="000000"/>
              <w:bottom w:val="single" w:sz="1" w:space="0" w:color="000000"/>
            </w:tcBorders>
          </w:tcPr>
          <w:p w14:paraId="2C3F6B81" w14:textId="77777777" w:rsidR="000F5C52" w:rsidRPr="008B129E" w:rsidRDefault="000F5C52" w:rsidP="00AF6439">
            <w:pPr>
              <w:pStyle w:val="Contenutotabella"/>
              <w:rPr>
                <w:b/>
                <w:sz w:val="22"/>
                <w:szCs w:val="22"/>
              </w:rPr>
            </w:pPr>
            <w:r w:rsidRPr="008B129E">
              <w:rPr>
                <w:b/>
                <w:sz w:val="22"/>
                <w:szCs w:val="22"/>
              </w:rPr>
              <w:t>TOTALE SPESA DEL PERSONALE</w:t>
            </w:r>
          </w:p>
        </w:tc>
        <w:tc>
          <w:tcPr>
            <w:tcW w:w="2847" w:type="dxa"/>
            <w:tcBorders>
              <w:left w:val="single" w:sz="1" w:space="0" w:color="000000"/>
              <w:bottom w:val="single" w:sz="1" w:space="0" w:color="000000"/>
              <w:right w:val="single" w:sz="1" w:space="0" w:color="000000"/>
            </w:tcBorders>
          </w:tcPr>
          <w:p w14:paraId="180BEC70" w14:textId="54B2B22E" w:rsidR="000F5C52" w:rsidRPr="008B129E" w:rsidRDefault="000F5C52" w:rsidP="00AF6439">
            <w:pPr>
              <w:pStyle w:val="Contenutotabella"/>
              <w:jc w:val="right"/>
              <w:rPr>
                <w:b/>
                <w:sz w:val="22"/>
                <w:szCs w:val="22"/>
              </w:rPr>
            </w:pPr>
            <w:r w:rsidRPr="008B129E">
              <w:rPr>
                <w:b/>
                <w:sz w:val="22"/>
                <w:szCs w:val="22"/>
              </w:rPr>
              <w:t>€ 1.889.819,23</w:t>
            </w:r>
          </w:p>
        </w:tc>
      </w:tr>
    </w:tbl>
    <w:p w14:paraId="18958BC0" w14:textId="77777777" w:rsidR="000F5C52" w:rsidRPr="008B129E" w:rsidRDefault="000F5C52" w:rsidP="000F5C52">
      <w:pPr>
        <w:jc w:val="both"/>
        <w:rPr>
          <w:rFonts w:ascii="Times New Roman" w:hAnsi="Times New Roman"/>
          <w:sz w:val="22"/>
          <w:szCs w:val="22"/>
        </w:rPr>
      </w:pPr>
    </w:p>
    <w:p w14:paraId="3C1F0617"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Pertanto, la spesa del personale relativa al rendiconto di gestione 2023, calcolata secondo i criteri stabiliti dal nuovo decreto, e secondo le voci stabilite dalla circolare attuativa, deve essere rapportata alla media degli accertamenti di competenza riferiti alle entrate correnti relative agli ultimi tre rendiconti approvati, considerate al netto del fondo crediti di dubbia esigibilità stanziato nel bilancio di previsione relativo all'ultima annualità considerata, che il Responsabile del Servizio Finanziario ha quantificato in € 1.045.864,96, le cui voci di calcolo sono descritte nel dettaglio nella successiva tabella:</w:t>
      </w:r>
    </w:p>
    <w:p w14:paraId="0D3962D2" w14:textId="77777777" w:rsidR="000F5C52" w:rsidRPr="008B129E" w:rsidRDefault="000F5C52" w:rsidP="000F5C52">
      <w:pPr>
        <w:jc w:val="both"/>
        <w:rPr>
          <w:rFonts w:ascii="Times New Roman" w:hAnsi="Times New Roman"/>
          <w:sz w:val="22"/>
          <w:szCs w:val="22"/>
        </w:rPr>
      </w:pPr>
    </w:p>
    <w:tbl>
      <w:tblPr>
        <w:tblW w:w="9226" w:type="dxa"/>
        <w:jc w:val="center"/>
        <w:tblLayout w:type="fixed"/>
        <w:tblCellMar>
          <w:top w:w="55" w:type="dxa"/>
          <w:left w:w="55" w:type="dxa"/>
          <w:bottom w:w="55" w:type="dxa"/>
          <w:right w:w="55" w:type="dxa"/>
        </w:tblCellMar>
        <w:tblLook w:val="0000" w:firstRow="0" w:lastRow="0" w:firstColumn="0" w:lastColumn="0" w:noHBand="0" w:noVBand="0"/>
      </w:tblPr>
      <w:tblGrid>
        <w:gridCol w:w="2260"/>
        <w:gridCol w:w="2260"/>
        <w:gridCol w:w="2260"/>
        <w:gridCol w:w="2446"/>
      </w:tblGrid>
      <w:tr w:rsidR="000F5C52" w:rsidRPr="008B129E" w14:paraId="42EFAC60" w14:textId="77777777" w:rsidTr="00AF6439">
        <w:trPr>
          <w:jc w:val="center"/>
        </w:trPr>
        <w:tc>
          <w:tcPr>
            <w:tcW w:w="2260" w:type="dxa"/>
            <w:tcBorders>
              <w:top w:val="single" w:sz="1" w:space="0" w:color="000000"/>
              <w:left w:val="single" w:sz="1" w:space="0" w:color="000000"/>
              <w:bottom w:val="single" w:sz="1" w:space="0" w:color="000000"/>
            </w:tcBorders>
          </w:tcPr>
          <w:p w14:paraId="6D90CA2F" w14:textId="77777777" w:rsidR="000F5C52" w:rsidRPr="008B129E" w:rsidRDefault="000F5C52" w:rsidP="00AF6439">
            <w:pPr>
              <w:pStyle w:val="Contenutotabella"/>
              <w:snapToGrid w:val="0"/>
              <w:jc w:val="center"/>
              <w:rPr>
                <w:sz w:val="22"/>
                <w:szCs w:val="22"/>
              </w:rPr>
            </w:pPr>
          </w:p>
        </w:tc>
        <w:tc>
          <w:tcPr>
            <w:tcW w:w="2260" w:type="dxa"/>
            <w:tcBorders>
              <w:top w:val="single" w:sz="1" w:space="0" w:color="000000"/>
              <w:left w:val="single" w:sz="1" w:space="0" w:color="000000"/>
              <w:bottom w:val="single" w:sz="1" w:space="0" w:color="000000"/>
            </w:tcBorders>
          </w:tcPr>
          <w:p w14:paraId="66A95A3E" w14:textId="77777777" w:rsidR="000F5C52" w:rsidRPr="008B129E" w:rsidRDefault="000F5C52" w:rsidP="00AF6439">
            <w:pPr>
              <w:pStyle w:val="Contenutotabella"/>
              <w:jc w:val="center"/>
              <w:rPr>
                <w:sz w:val="22"/>
                <w:szCs w:val="22"/>
              </w:rPr>
            </w:pPr>
            <w:r w:rsidRPr="008B129E">
              <w:rPr>
                <w:sz w:val="22"/>
                <w:szCs w:val="22"/>
              </w:rPr>
              <w:t>2021</w:t>
            </w:r>
          </w:p>
        </w:tc>
        <w:tc>
          <w:tcPr>
            <w:tcW w:w="2260" w:type="dxa"/>
            <w:tcBorders>
              <w:top w:val="single" w:sz="1" w:space="0" w:color="000000"/>
              <w:left w:val="single" w:sz="1" w:space="0" w:color="000000"/>
              <w:bottom w:val="single" w:sz="1" w:space="0" w:color="000000"/>
            </w:tcBorders>
          </w:tcPr>
          <w:p w14:paraId="09F7EF64" w14:textId="77777777" w:rsidR="000F5C52" w:rsidRPr="008B129E" w:rsidRDefault="000F5C52" w:rsidP="00AF6439">
            <w:pPr>
              <w:pStyle w:val="Contenutotabella"/>
              <w:jc w:val="center"/>
              <w:rPr>
                <w:sz w:val="22"/>
                <w:szCs w:val="22"/>
              </w:rPr>
            </w:pPr>
            <w:r w:rsidRPr="008B129E">
              <w:rPr>
                <w:sz w:val="22"/>
                <w:szCs w:val="22"/>
              </w:rPr>
              <w:t>2022</w:t>
            </w:r>
          </w:p>
        </w:tc>
        <w:tc>
          <w:tcPr>
            <w:tcW w:w="2446" w:type="dxa"/>
            <w:tcBorders>
              <w:top w:val="single" w:sz="1" w:space="0" w:color="000000"/>
              <w:left w:val="single" w:sz="1" w:space="0" w:color="000000"/>
              <w:bottom w:val="single" w:sz="1" w:space="0" w:color="000000"/>
              <w:right w:val="single" w:sz="1" w:space="0" w:color="000000"/>
            </w:tcBorders>
          </w:tcPr>
          <w:p w14:paraId="07A79444" w14:textId="77777777" w:rsidR="000F5C52" w:rsidRPr="008B129E" w:rsidRDefault="000F5C52" w:rsidP="00AF6439">
            <w:pPr>
              <w:pStyle w:val="Contenutotabella"/>
              <w:jc w:val="center"/>
              <w:rPr>
                <w:sz w:val="22"/>
                <w:szCs w:val="22"/>
              </w:rPr>
            </w:pPr>
            <w:r w:rsidRPr="008B129E">
              <w:rPr>
                <w:sz w:val="22"/>
                <w:szCs w:val="22"/>
              </w:rPr>
              <w:t>2023</w:t>
            </w:r>
          </w:p>
        </w:tc>
      </w:tr>
      <w:tr w:rsidR="000F5C52" w:rsidRPr="008B129E" w14:paraId="16A57C3F" w14:textId="77777777" w:rsidTr="00AF6439">
        <w:trPr>
          <w:jc w:val="center"/>
        </w:trPr>
        <w:tc>
          <w:tcPr>
            <w:tcW w:w="2260" w:type="dxa"/>
            <w:tcBorders>
              <w:left w:val="single" w:sz="1" w:space="0" w:color="000000"/>
              <w:bottom w:val="single" w:sz="1" w:space="0" w:color="000000"/>
            </w:tcBorders>
          </w:tcPr>
          <w:p w14:paraId="7FB4B723" w14:textId="77777777" w:rsidR="000F5C52" w:rsidRPr="008B129E" w:rsidRDefault="000F5C52" w:rsidP="00AF6439">
            <w:pPr>
              <w:pStyle w:val="Contenutotabella"/>
              <w:rPr>
                <w:sz w:val="22"/>
                <w:szCs w:val="22"/>
              </w:rPr>
            </w:pPr>
            <w:r w:rsidRPr="008B129E">
              <w:rPr>
                <w:sz w:val="22"/>
                <w:szCs w:val="22"/>
              </w:rPr>
              <w:t xml:space="preserve">TITOLO  1  </w:t>
            </w:r>
          </w:p>
        </w:tc>
        <w:tc>
          <w:tcPr>
            <w:tcW w:w="2260" w:type="dxa"/>
            <w:tcBorders>
              <w:left w:val="single" w:sz="1" w:space="0" w:color="000000"/>
              <w:bottom w:val="single" w:sz="1" w:space="0" w:color="000000"/>
            </w:tcBorders>
          </w:tcPr>
          <w:p w14:paraId="52E2B8DE" w14:textId="4DEE4C1D" w:rsidR="000F5C52" w:rsidRPr="008B129E" w:rsidRDefault="000F5C52" w:rsidP="00AF6439">
            <w:pPr>
              <w:pStyle w:val="Contenutotabella"/>
              <w:jc w:val="right"/>
              <w:rPr>
                <w:sz w:val="22"/>
                <w:szCs w:val="22"/>
              </w:rPr>
            </w:pPr>
            <w:r w:rsidRPr="008B129E">
              <w:rPr>
                <w:sz w:val="22"/>
                <w:szCs w:val="22"/>
              </w:rPr>
              <w:t>€ 4.322.132,01</w:t>
            </w:r>
          </w:p>
        </w:tc>
        <w:tc>
          <w:tcPr>
            <w:tcW w:w="2260" w:type="dxa"/>
            <w:tcBorders>
              <w:left w:val="single" w:sz="1" w:space="0" w:color="000000"/>
              <w:bottom w:val="single" w:sz="1" w:space="0" w:color="000000"/>
            </w:tcBorders>
          </w:tcPr>
          <w:p w14:paraId="5EDAFFED" w14:textId="502168DD" w:rsidR="000F5C52" w:rsidRPr="008B129E" w:rsidRDefault="000F5C52" w:rsidP="00AF6439">
            <w:pPr>
              <w:pStyle w:val="Contenutotabella"/>
              <w:jc w:val="right"/>
              <w:rPr>
                <w:sz w:val="22"/>
                <w:szCs w:val="22"/>
              </w:rPr>
            </w:pPr>
            <w:r w:rsidRPr="008B129E">
              <w:rPr>
                <w:sz w:val="22"/>
                <w:szCs w:val="22"/>
              </w:rPr>
              <w:t>€ 5.687.545,22</w:t>
            </w:r>
          </w:p>
        </w:tc>
        <w:tc>
          <w:tcPr>
            <w:tcW w:w="2446" w:type="dxa"/>
            <w:tcBorders>
              <w:left w:val="single" w:sz="1" w:space="0" w:color="000000"/>
              <w:bottom w:val="single" w:sz="1" w:space="0" w:color="000000"/>
              <w:right w:val="single" w:sz="1" w:space="0" w:color="000000"/>
            </w:tcBorders>
          </w:tcPr>
          <w:p w14:paraId="12991ACA" w14:textId="7CFE561C" w:rsidR="000F5C52" w:rsidRPr="008B129E" w:rsidRDefault="000F5C52" w:rsidP="00AF6439">
            <w:pPr>
              <w:pStyle w:val="Contenutotabella"/>
              <w:jc w:val="right"/>
              <w:rPr>
                <w:sz w:val="22"/>
                <w:szCs w:val="22"/>
              </w:rPr>
            </w:pPr>
            <w:r w:rsidRPr="008B129E">
              <w:rPr>
                <w:sz w:val="22"/>
                <w:szCs w:val="22"/>
              </w:rPr>
              <w:t>€ 5.589.871,92</w:t>
            </w:r>
          </w:p>
        </w:tc>
      </w:tr>
      <w:tr w:rsidR="000F5C52" w:rsidRPr="008B129E" w14:paraId="692E14F8" w14:textId="77777777" w:rsidTr="00AF6439">
        <w:trPr>
          <w:jc w:val="center"/>
        </w:trPr>
        <w:tc>
          <w:tcPr>
            <w:tcW w:w="2260" w:type="dxa"/>
            <w:tcBorders>
              <w:left w:val="single" w:sz="1" w:space="0" w:color="000000"/>
              <w:bottom w:val="single" w:sz="1" w:space="0" w:color="000000"/>
            </w:tcBorders>
          </w:tcPr>
          <w:p w14:paraId="659C2D97" w14:textId="77777777" w:rsidR="000F5C52" w:rsidRPr="008B129E" w:rsidRDefault="000F5C52" w:rsidP="00AF6439">
            <w:pPr>
              <w:pStyle w:val="Contenutotabella"/>
              <w:rPr>
                <w:sz w:val="22"/>
                <w:szCs w:val="22"/>
              </w:rPr>
            </w:pPr>
            <w:r w:rsidRPr="008B129E">
              <w:rPr>
                <w:sz w:val="22"/>
                <w:szCs w:val="22"/>
              </w:rPr>
              <w:t>TITOLO 2</w:t>
            </w:r>
          </w:p>
        </w:tc>
        <w:tc>
          <w:tcPr>
            <w:tcW w:w="2260" w:type="dxa"/>
            <w:tcBorders>
              <w:left w:val="single" w:sz="1" w:space="0" w:color="000000"/>
              <w:bottom w:val="single" w:sz="1" w:space="0" w:color="000000"/>
            </w:tcBorders>
          </w:tcPr>
          <w:p w14:paraId="338DD63E" w14:textId="0DBCE9AB" w:rsidR="000F5C52" w:rsidRPr="008B129E" w:rsidRDefault="000F5C52" w:rsidP="00AF6439">
            <w:pPr>
              <w:pStyle w:val="Contenutotabella"/>
              <w:jc w:val="right"/>
              <w:rPr>
                <w:sz w:val="22"/>
                <w:szCs w:val="22"/>
              </w:rPr>
            </w:pPr>
            <w:r w:rsidRPr="008B129E">
              <w:rPr>
                <w:sz w:val="22"/>
                <w:szCs w:val="22"/>
              </w:rPr>
              <w:t>€ 1.909.951,69</w:t>
            </w:r>
          </w:p>
        </w:tc>
        <w:tc>
          <w:tcPr>
            <w:tcW w:w="2260" w:type="dxa"/>
            <w:tcBorders>
              <w:left w:val="single" w:sz="1" w:space="0" w:color="000000"/>
              <w:bottom w:val="single" w:sz="1" w:space="0" w:color="000000"/>
            </w:tcBorders>
          </w:tcPr>
          <w:p w14:paraId="6360E0F0" w14:textId="3FAE8348" w:rsidR="000F5C52" w:rsidRPr="008B129E" w:rsidRDefault="000F5C52" w:rsidP="00AF6439">
            <w:pPr>
              <w:pStyle w:val="Contenutotabella"/>
              <w:jc w:val="right"/>
              <w:rPr>
                <w:sz w:val="22"/>
                <w:szCs w:val="22"/>
              </w:rPr>
            </w:pPr>
            <w:r w:rsidRPr="008B129E">
              <w:rPr>
                <w:sz w:val="22"/>
                <w:szCs w:val="22"/>
              </w:rPr>
              <w:t>€ 1.991.273,77</w:t>
            </w:r>
          </w:p>
        </w:tc>
        <w:tc>
          <w:tcPr>
            <w:tcW w:w="2446" w:type="dxa"/>
            <w:tcBorders>
              <w:left w:val="single" w:sz="1" w:space="0" w:color="000000"/>
              <w:bottom w:val="single" w:sz="1" w:space="0" w:color="000000"/>
              <w:right w:val="single" w:sz="1" w:space="0" w:color="000000"/>
            </w:tcBorders>
          </w:tcPr>
          <w:p w14:paraId="16A23DEB" w14:textId="08977BBC" w:rsidR="000F5C52" w:rsidRPr="008B129E" w:rsidRDefault="000F5C52" w:rsidP="00AF6439">
            <w:pPr>
              <w:pStyle w:val="Contenutotabella"/>
              <w:jc w:val="right"/>
              <w:rPr>
                <w:sz w:val="22"/>
                <w:szCs w:val="22"/>
              </w:rPr>
            </w:pPr>
            <w:r w:rsidRPr="008B129E">
              <w:rPr>
                <w:sz w:val="22"/>
                <w:szCs w:val="22"/>
              </w:rPr>
              <w:t>€ 1.263.759,86</w:t>
            </w:r>
          </w:p>
        </w:tc>
      </w:tr>
      <w:tr w:rsidR="000F5C52" w:rsidRPr="008B129E" w14:paraId="68167C5D" w14:textId="77777777" w:rsidTr="00AF6439">
        <w:trPr>
          <w:jc w:val="center"/>
        </w:trPr>
        <w:tc>
          <w:tcPr>
            <w:tcW w:w="2260" w:type="dxa"/>
            <w:tcBorders>
              <w:left w:val="single" w:sz="1" w:space="0" w:color="000000"/>
              <w:bottom w:val="single" w:sz="1" w:space="0" w:color="000000"/>
            </w:tcBorders>
          </w:tcPr>
          <w:p w14:paraId="27E75B91" w14:textId="77777777" w:rsidR="000F5C52" w:rsidRPr="008B129E" w:rsidRDefault="000F5C52" w:rsidP="00AF6439">
            <w:pPr>
              <w:pStyle w:val="Contenutotabella"/>
              <w:rPr>
                <w:sz w:val="22"/>
                <w:szCs w:val="22"/>
              </w:rPr>
            </w:pPr>
            <w:r w:rsidRPr="008B129E">
              <w:rPr>
                <w:sz w:val="22"/>
                <w:szCs w:val="22"/>
              </w:rPr>
              <w:t>TITOLO 3</w:t>
            </w:r>
          </w:p>
        </w:tc>
        <w:tc>
          <w:tcPr>
            <w:tcW w:w="2260" w:type="dxa"/>
            <w:tcBorders>
              <w:left w:val="single" w:sz="1" w:space="0" w:color="000000"/>
              <w:bottom w:val="single" w:sz="1" w:space="0" w:color="000000"/>
            </w:tcBorders>
          </w:tcPr>
          <w:p w14:paraId="71B08B9C" w14:textId="37B5B973" w:rsidR="000F5C52" w:rsidRPr="008B129E" w:rsidRDefault="000F5C52" w:rsidP="00AF6439">
            <w:pPr>
              <w:pStyle w:val="Contenutotabella"/>
              <w:jc w:val="right"/>
              <w:rPr>
                <w:sz w:val="22"/>
                <w:szCs w:val="22"/>
              </w:rPr>
            </w:pPr>
            <w:r w:rsidRPr="008B129E">
              <w:rPr>
                <w:sz w:val="22"/>
                <w:szCs w:val="22"/>
              </w:rPr>
              <w:t>€    666.746,91</w:t>
            </w:r>
          </w:p>
        </w:tc>
        <w:tc>
          <w:tcPr>
            <w:tcW w:w="2260" w:type="dxa"/>
            <w:tcBorders>
              <w:left w:val="single" w:sz="1" w:space="0" w:color="000000"/>
              <w:bottom w:val="single" w:sz="1" w:space="0" w:color="000000"/>
            </w:tcBorders>
          </w:tcPr>
          <w:p w14:paraId="1CE8D9E2" w14:textId="16115FFF" w:rsidR="000F5C52" w:rsidRPr="008B129E" w:rsidRDefault="00BC46E5" w:rsidP="00AF6439">
            <w:pPr>
              <w:pStyle w:val="Contenutotabella"/>
              <w:jc w:val="right"/>
              <w:rPr>
                <w:sz w:val="22"/>
                <w:szCs w:val="22"/>
              </w:rPr>
            </w:pPr>
            <w:r>
              <w:rPr>
                <w:sz w:val="22"/>
                <w:szCs w:val="22"/>
              </w:rPr>
              <w:t>*</w:t>
            </w:r>
            <w:r w:rsidR="000F5C52" w:rsidRPr="008B129E">
              <w:rPr>
                <w:sz w:val="22"/>
                <w:szCs w:val="22"/>
              </w:rPr>
              <w:t>€    522.457,39</w:t>
            </w:r>
          </w:p>
        </w:tc>
        <w:tc>
          <w:tcPr>
            <w:tcW w:w="2446" w:type="dxa"/>
            <w:tcBorders>
              <w:left w:val="single" w:sz="1" w:space="0" w:color="000000"/>
              <w:bottom w:val="single" w:sz="1" w:space="0" w:color="000000"/>
              <w:right w:val="single" w:sz="1" w:space="0" w:color="000000"/>
            </w:tcBorders>
          </w:tcPr>
          <w:p w14:paraId="2BFB7078" w14:textId="0A929D68" w:rsidR="000F5C52" w:rsidRPr="008B129E" w:rsidRDefault="009A21C8" w:rsidP="00AF6439">
            <w:pPr>
              <w:pStyle w:val="Contenutotabella"/>
              <w:jc w:val="right"/>
              <w:rPr>
                <w:sz w:val="22"/>
                <w:szCs w:val="22"/>
              </w:rPr>
            </w:pPr>
            <w:r>
              <w:rPr>
                <w:sz w:val="22"/>
                <w:szCs w:val="22"/>
              </w:rPr>
              <w:t>**</w:t>
            </w:r>
            <w:r w:rsidR="000F5C52" w:rsidRPr="008B129E">
              <w:rPr>
                <w:sz w:val="22"/>
                <w:szCs w:val="22"/>
              </w:rPr>
              <w:t xml:space="preserve">€    </w:t>
            </w:r>
            <w:r w:rsidR="00BC46E5">
              <w:rPr>
                <w:sz w:val="22"/>
                <w:szCs w:val="22"/>
              </w:rPr>
              <w:t>403</w:t>
            </w:r>
            <w:r w:rsidR="000F5C52" w:rsidRPr="008B129E">
              <w:rPr>
                <w:sz w:val="22"/>
                <w:szCs w:val="22"/>
              </w:rPr>
              <w:t>.</w:t>
            </w:r>
            <w:r w:rsidR="00BC46E5">
              <w:rPr>
                <w:sz w:val="22"/>
                <w:szCs w:val="22"/>
              </w:rPr>
              <w:t>271</w:t>
            </w:r>
            <w:r w:rsidR="000F5C52" w:rsidRPr="008B129E">
              <w:rPr>
                <w:sz w:val="22"/>
                <w:szCs w:val="22"/>
              </w:rPr>
              <w:t>,</w:t>
            </w:r>
            <w:r w:rsidR="00BC46E5">
              <w:rPr>
                <w:sz w:val="22"/>
                <w:szCs w:val="22"/>
              </w:rPr>
              <w:t>38</w:t>
            </w:r>
          </w:p>
        </w:tc>
      </w:tr>
      <w:tr w:rsidR="000F5C52" w:rsidRPr="008B129E" w14:paraId="6C4F6116" w14:textId="77777777" w:rsidTr="000F5C52">
        <w:trPr>
          <w:jc w:val="center"/>
        </w:trPr>
        <w:tc>
          <w:tcPr>
            <w:tcW w:w="2260" w:type="dxa"/>
            <w:tcBorders>
              <w:left w:val="single" w:sz="1" w:space="0" w:color="000000"/>
              <w:bottom w:val="single" w:sz="2" w:space="0" w:color="000000"/>
            </w:tcBorders>
          </w:tcPr>
          <w:p w14:paraId="41ADF4A5" w14:textId="77777777" w:rsidR="000F5C52" w:rsidRPr="008B129E" w:rsidRDefault="000F5C52" w:rsidP="00AF6439">
            <w:pPr>
              <w:pStyle w:val="Contenutotabella"/>
              <w:rPr>
                <w:sz w:val="22"/>
                <w:szCs w:val="22"/>
              </w:rPr>
            </w:pPr>
            <w:r w:rsidRPr="008B129E">
              <w:rPr>
                <w:sz w:val="22"/>
                <w:szCs w:val="22"/>
              </w:rPr>
              <w:lastRenderedPageBreak/>
              <w:t>TOTALE</w:t>
            </w:r>
          </w:p>
        </w:tc>
        <w:tc>
          <w:tcPr>
            <w:tcW w:w="2260" w:type="dxa"/>
            <w:tcBorders>
              <w:left w:val="single" w:sz="1" w:space="0" w:color="000000"/>
              <w:bottom w:val="single" w:sz="2" w:space="0" w:color="000000"/>
            </w:tcBorders>
          </w:tcPr>
          <w:p w14:paraId="498F3741" w14:textId="22A7A689" w:rsidR="000F5C52" w:rsidRPr="008B129E" w:rsidRDefault="000F5C52" w:rsidP="00AF6439">
            <w:pPr>
              <w:pStyle w:val="Contenutotabella"/>
              <w:jc w:val="right"/>
              <w:rPr>
                <w:sz w:val="22"/>
                <w:szCs w:val="22"/>
              </w:rPr>
            </w:pPr>
            <w:r w:rsidRPr="008B129E">
              <w:rPr>
                <w:sz w:val="22"/>
                <w:szCs w:val="22"/>
              </w:rPr>
              <w:t>€ 6.898.830,61</w:t>
            </w:r>
          </w:p>
        </w:tc>
        <w:tc>
          <w:tcPr>
            <w:tcW w:w="2260" w:type="dxa"/>
            <w:tcBorders>
              <w:left w:val="single" w:sz="1" w:space="0" w:color="000000"/>
              <w:bottom w:val="single" w:sz="2" w:space="0" w:color="000000"/>
            </w:tcBorders>
          </w:tcPr>
          <w:p w14:paraId="1647A63C" w14:textId="3A76036C" w:rsidR="000F5C52" w:rsidRPr="008B129E" w:rsidRDefault="000F5C52" w:rsidP="00AF6439">
            <w:pPr>
              <w:pStyle w:val="Contenutotabella"/>
              <w:jc w:val="right"/>
              <w:rPr>
                <w:sz w:val="22"/>
                <w:szCs w:val="22"/>
              </w:rPr>
            </w:pPr>
            <w:r w:rsidRPr="008B129E">
              <w:rPr>
                <w:sz w:val="22"/>
                <w:szCs w:val="22"/>
              </w:rPr>
              <w:t>€ 8.201.276,38</w:t>
            </w:r>
          </w:p>
        </w:tc>
        <w:tc>
          <w:tcPr>
            <w:tcW w:w="2446" w:type="dxa"/>
            <w:tcBorders>
              <w:left w:val="single" w:sz="1" w:space="0" w:color="000000"/>
              <w:bottom w:val="single" w:sz="2" w:space="0" w:color="000000"/>
              <w:right w:val="single" w:sz="1" w:space="0" w:color="000000"/>
            </w:tcBorders>
          </w:tcPr>
          <w:p w14:paraId="55C11BAB" w14:textId="07C96BDD" w:rsidR="000F5C52" w:rsidRPr="008B129E" w:rsidRDefault="000F5C52" w:rsidP="00AF6439">
            <w:pPr>
              <w:pStyle w:val="Contenutotabella"/>
              <w:jc w:val="right"/>
              <w:rPr>
                <w:sz w:val="22"/>
                <w:szCs w:val="22"/>
              </w:rPr>
            </w:pPr>
            <w:r w:rsidRPr="008B129E">
              <w:rPr>
                <w:sz w:val="22"/>
                <w:szCs w:val="22"/>
              </w:rPr>
              <w:t>€ 7.</w:t>
            </w:r>
            <w:r w:rsidR="00BC46E5">
              <w:rPr>
                <w:sz w:val="22"/>
                <w:szCs w:val="22"/>
              </w:rPr>
              <w:t>256</w:t>
            </w:r>
            <w:r w:rsidRPr="008B129E">
              <w:rPr>
                <w:sz w:val="22"/>
                <w:szCs w:val="22"/>
              </w:rPr>
              <w:t>.9</w:t>
            </w:r>
            <w:r w:rsidR="00BC46E5">
              <w:rPr>
                <w:sz w:val="22"/>
                <w:szCs w:val="22"/>
              </w:rPr>
              <w:t>03</w:t>
            </w:r>
            <w:r w:rsidRPr="008B129E">
              <w:rPr>
                <w:sz w:val="22"/>
                <w:szCs w:val="22"/>
              </w:rPr>
              <w:t>,</w:t>
            </w:r>
            <w:r w:rsidR="00BC46E5">
              <w:rPr>
                <w:sz w:val="22"/>
                <w:szCs w:val="22"/>
              </w:rPr>
              <w:t>16</w:t>
            </w:r>
          </w:p>
        </w:tc>
      </w:tr>
      <w:tr w:rsidR="000F5C52" w:rsidRPr="008B129E" w14:paraId="5BE441A9" w14:textId="77777777" w:rsidTr="007858FD">
        <w:trPr>
          <w:jc w:val="center"/>
        </w:trPr>
        <w:tc>
          <w:tcPr>
            <w:tcW w:w="2260" w:type="dxa"/>
            <w:tcBorders>
              <w:left w:val="single" w:sz="1" w:space="0" w:color="000000"/>
              <w:bottom w:val="single" w:sz="2" w:space="0" w:color="000000"/>
            </w:tcBorders>
          </w:tcPr>
          <w:p w14:paraId="4C1EDB7B" w14:textId="32A6FF5A" w:rsidR="000F5C52" w:rsidRPr="008B129E" w:rsidRDefault="000F5C52" w:rsidP="00AF6439">
            <w:pPr>
              <w:pStyle w:val="Contenutotabella"/>
              <w:rPr>
                <w:sz w:val="22"/>
                <w:szCs w:val="22"/>
              </w:rPr>
            </w:pPr>
            <w:r w:rsidRPr="008B129E">
              <w:rPr>
                <w:sz w:val="22"/>
                <w:szCs w:val="22"/>
              </w:rPr>
              <w:t>MEDIA</w:t>
            </w:r>
          </w:p>
        </w:tc>
        <w:tc>
          <w:tcPr>
            <w:tcW w:w="6966" w:type="dxa"/>
            <w:gridSpan w:val="3"/>
            <w:tcBorders>
              <w:left w:val="single" w:sz="1" w:space="0" w:color="000000"/>
              <w:bottom w:val="single" w:sz="2" w:space="0" w:color="000000"/>
              <w:right w:val="single" w:sz="1" w:space="0" w:color="000000"/>
            </w:tcBorders>
          </w:tcPr>
          <w:p w14:paraId="789DE196" w14:textId="711F6C9E" w:rsidR="000F5C52" w:rsidRPr="008B129E" w:rsidRDefault="000F5C52" w:rsidP="008E416A">
            <w:pPr>
              <w:pStyle w:val="Contenutotabella"/>
              <w:jc w:val="right"/>
              <w:rPr>
                <w:sz w:val="22"/>
                <w:szCs w:val="22"/>
              </w:rPr>
            </w:pPr>
            <w:r w:rsidRPr="008B129E">
              <w:rPr>
                <w:sz w:val="22"/>
                <w:szCs w:val="22"/>
              </w:rPr>
              <w:t>€ 7.</w:t>
            </w:r>
            <w:r w:rsidR="00BC46E5">
              <w:rPr>
                <w:sz w:val="22"/>
                <w:szCs w:val="22"/>
              </w:rPr>
              <w:t>452</w:t>
            </w:r>
            <w:r w:rsidRPr="008B129E">
              <w:rPr>
                <w:sz w:val="22"/>
                <w:szCs w:val="22"/>
              </w:rPr>
              <w:t>.</w:t>
            </w:r>
            <w:r w:rsidR="00BC46E5">
              <w:rPr>
                <w:sz w:val="22"/>
                <w:szCs w:val="22"/>
              </w:rPr>
              <w:t>336</w:t>
            </w:r>
            <w:r w:rsidRPr="008B129E">
              <w:rPr>
                <w:sz w:val="22"/>
                <w:szCs w:val="22"/>
              </w:rPr>
              <w:t>,</w:t>
            </w:r>
            <w:r w:rsidR="00BC46E5">
              <w:rPr>
                <w:sz w:val="22"/>
                <w:szCs w:val="22"/>
              </w:rPr>
              <w:t>72</w:t>
            </w:r>
          </w:p>
        </w:tc>
      </w:tr>
      <w:tr w:rsidR="000F5C52" w:rsidRPr="008B129E" w14:paraId="7A2B509E" w14:textId="77777777" w:rsidTr="000F5C52">
        <w:trPr>
          <w:jc w:val="center"/>
        </w:trPr>
        <w:tc>
          <w:tcPr>
            <w:tcW w:w="6780" w:type="dxa"/>
            <w:gridSpan w:val="3"/>
            <w:tcBorders>
              <w:top w:val="single" w:sz="2" w:space="0" w:color="000000"/>
              <w:left w:val="single" w:sz="1" w:space="0" w:color="000000"/>
              <w:bottom w:val="single" w:sz="2" w:space="0" w:color="000000"/>
            </w:tcBorders>
          </w:tcPr>
          <w:p w14:paraId="3578B9B2" w14:textId="7679203F" w:rsidR="000F5C52" w:rsidRPr="008B129E" w:rsidRDefault="000F5C52" w:rsidP="000F5C52">
            <w:pPr>
              <w:pStyle w:val="Contenutotabella"/>
              <w:jc w:val="both"/>
              <w:rPr>
                <w:sz w:val="22"/>
                <w:szCs w:val="22"/>
              </w:rPr>
            </w:pPr>
            <w:r w:rsidRPr="008B129E">
              <w:rPr>
                <w:sz w:val="22"/>
                <w:szCs w:val="22"/>
              </w:rPr>
              <w:t>FCDE cap. 2151/3 stanziato nel bilancio di previsione relativo all'ultima annualità' considerata</w:t>
            </w:r>
          </w:p>
        </w:tc>
        <w:tc>
          <w:tcPr>
            <w:tcW w:w="2446" w:type="dxa"/>
            <w:tcBorders>
              <w:top w:val="single" w:sz="2" w:space="0" w:color="000000"/>
              <w:left w:val="single" w:sz="1" w:space="0" w:color="000000"/>
              <w:bottom w:val="single" w:sz="2" w:space="0" w:color="000000"/>
              <w:right w:val="single" w:sz="1" w:space="0" w:color="000000"/>
            </w:tcBorders>
            <w:vAlign w:val="center"/>
          </w:tcPr>
          <w:p w14:paraId="7378BE59" w14:textId="7E05F34C" w:rsidR="000F5C52" w:rsidRPr="008B129E" w:rsidRDefault="000F5C52" w:rsidP="00AF6439">
            <w:pPr>
              <w:pStyle w:val="Contenutotabella"/>
              <w:jc w:val="right"/>
              <w:rPr>
                <w:sz w:val="22"/>
                <w:szCs w:val="22"/>
              </w:rPr>
            </w:pPr>
            <w:r w:rsidRPr="008B129E">
              <w:rPr>
                <w:sz w:val="22"/>
                <w:szCs w:val="22"/>
              </w:rPr>
              <w:t>€ 1.045.8</w:t>
            </w:r>
            <w:r w:rsidR="00BC46E5">
              <w:rPr>
                <w:sz w:val="22"/>
                <w:szCs w:val="22"/>
              </w:rPr>
              <w:t>4</w:t>
            </w:r>
            <w:r w:rsidRPr="008B129E">
              <w:rPr>
                <w:sz w:val="22"/>
                <w:szCs w:val="22"/>
              </w:rPr>
              <w:t>6,96</w:t>
            </w:r>
          </w:p>
        </w:tc>
      </w:tr>
      <w:tr w:rsidR="000F5C52" w:rsidRPr="008B129E" w14:paraId="79D4339E" w14:textId="77777777" w:rsidTr="000F5C52">
        <w:trPr>
          <w:jc w:val="center"/>
        </w:trPr>
        <w:tc>
          <w:tcPr>
            <w:tcW w:w="6780" w:type="dxa"/>
            <w:gridSpan w:val="3"/>
            <w:tcBorders>
              <w:top w:val="single" w:sz="2" w:space="0" w:color="000000"/>
              <w:left w:val="single" w:sz="1" w:space="0" w:color="000000"/>
              <w:bottom w:val="single" w:sz="1" w:space="0" w:color="000000"/>
            </w:tcBorders>
          </w:tcPr>
          <w:p w14:paraId="21AC2BF6" w14:textId="7D07853B" w:rsidR="000F5C52" w:rsidRPr="008B129E" w:rsidRDefault="008E416A" w:rsidP="000F5C52">
            <w:pPr>
              <w:pStyle w:val="Contenutotabella"/>
              <w:jc w:val="both"/>
              <w:rPr>
                <w:sz w:val="22"/>
                <w:szCs w:val="22"/>
              </w:rPr>
            </w:pPr>
            <w:r w:rsidRPr="008B129E">
              <w:rPr>
                <w:sz w:val="22"/>
                <w:szCs w:val="22"/>
              </w:rPr>
              <w:t>ENTRATE CORRENTI [art. 2, co. 1, lett. b) Decreto 17 marzo 2020]</w:t>
            </w:r>
          </w:p>
        </w:tc>
        <w:tc>
          <w:tcPr>
            <w:tcW w:w="2446" w:type="dxa"/>
            <w:tcBorders>
              <w:top w:val="single" w:sz="2" w:space="0" w:color="000000"/>
              <w:left w:val="single" w:sz="1" w:space="0" w:color="000000"/>
              <w:bottom w:val="single" w:sz="1" w:space="0" w:color="000000"/>
              <w:right w:val="single" w:sz="1" w:space="0" w:color="000000"/>
            </w:tcBorders>
            <w:vAlign w:val="center"/>
          </w:tcPr>
          <w:p w14:paraId="651F38D5" w14:textId="3150AEF9" w:rsidR="000F5C52" w:rsidRPr="008B129E" w:rsidRDefault="008E416A" w:rsidP="00AF6439">
            <w:pPr>
              <w:pStyle w:val="Contenutotabella"/>
              <w:jc w:val="right"/>
              <w:rPr>
                <w:sz w:val="22"/>
                <w:szCs w:val="22"/>
                <w:lang w:val="en-US"/>
              </w:rPr>
            </w:pPr>
            <w:r w:rsidRPr="008B129E">
              <w:rPr>
                <w:sz w:val="22"/>
                <w:szCs w:val="22"/>
                <w:lang w:val="en-US"/>
              </w:rPr>
              <w:t>€ 6.4</w:t>
            </w:r>
            <w:r w:rsidR="00BC46E5">
              <w:rPr>
                <w:sz w:val="22"/>
                <w:szCs w:val="22"/>
                <w:lang w:val="en-US"/>
              </w:rPr>
              <w:t>0</w:t>
            </w:r>
            <w:r w:rsidRPr="008B129E">
              <w:rPr>
                <w:sz w:val="22"/>
                <w:szCs w:val="22"/>
                <w:lang w:val="en-US"/>
              </w:rPr>
              <w:t>6.</w:t>
            </w:r>
            <w:r w:rsidR="00BC46E5">
              <w:rPr>
                <w:sz w:val="22"/>
                <w:szCs w:val="22"/>
                <w:lang w:val="en-US"/>
              </w:rPr>
              <w:t>489</w:t>
            </w:r>
            <w:r w:rsidRPr="008B129E">
              <w:rPr>
                <w:sz w:val="22"/>
                <w:szCs w:val="22"/>
                <w:lang w:val="en-US"/>
              </w:rPr>
              <w:t>,</w:t>
            </w:r>
            <w:r w:rsidR="00BC46E5">
              <w:rPr>
                <w:sz w:val="22"/>
                <w:szCs w:val="22"/>
                <w:lang w:val="en-US"/>
              </w:rPr>
              <w:t>76</w:t>
            </w:r>
          </w:p>
        </w:tc>
      </w:tr>
    </w:tbl>
    <w:p w14:paraId="05B5B438" w14:textId="77777777" w:rsidR="000F5C52" w:rsidRDefault="000F5C52" w:rsidP="000F5C52">
      <w:pPr>
        <w:jc w:val="both"/>
        <w:rPr>
          <w:rFonts w:ascii="Times New Roman" w:hAnsi="Times New Roman"/>
          <w:sz w:val="22"/>
          <w:szCs w:val="22"/>
          <w:lang w:val="en-US"/>
        </w:rPr>
      </w:pPr>
    </w:p>
    <w:p w14:paraId="2E9B4777" w14:textId="35AD5242" w:rsidR="00BC46E5" w:rsidRPr="003D2ED2" w:rsidRDefault="00BC46E5" w:rsidP="000F5C52">
      <w:pPr>
        <w:jc w:val="both"/>
        <w:rPr>
          <w:rFonts w:ascii="Times New Roman" w:hAnsi="Times New Roman"/>
          <w:sz w:val="18"/>
          <w:szCs w:val="18"/>
        </w:rPr>
      </w:pPr>
      <w:r w:rsidRPr="003D2ED2">
        <w:rPr>
          <w:rFonts w:ascii="Times New Roman" w:hAnsi="Times New Roman"/>
          <w:sz w:val="18"/>
          <w:szCs w:val="18"/>
        </w:rPr>
        <w:t xml:space="preserve">* l’importo riportato al titolo III pari ad € 522.457,39 è depurato dall’importo corrisposto per il personale comandato presso altre amministrazioni che ammonta ad € </w:t>
      </w:r>
      <w:r w:rsidR="009A21C8" w:rsidRPr="003D2ED2">
        <w:rPr>
          <w:rFonts w:ascii="Times New Roman" w:hAnsi="Times New Roman"/>
          <w:sz w:val="18"/>
          <w:szCs w:val="18"/>
        </w:rPr>
        <w:t>266.509,71;</w:t>
      </w:r>
    </w:p>
    <w:p w14:paraId="19E2DCB2" w14:textId="3B747D4B" w:rsidR="009A21C8" w:rsidRPr="003D2ED2" w:rsidRDefault="009A21C8" w:rsidP="000F5C52">
      <w:pPr>
        <w:jc w:val="both"/>
        <w:rPr>
          <w:rFonts w:ascii="Times New Roman" w:hAnsi="Times New Roman"/>
          <w:sz w:val="18"/>
          <w:szCs w:val="18"/>
        </w:rPr>
      </w:pPr>
      <w:r w:rsidRPr="003D2ED2">
        <w:rPr>
          <w:rFonts w:ascii="Times New Roman" w:hAnsi="Times New Roman"/>
          <w:sz w:val="18"/>
          <w:szCs w:val="18"/>
        </w:rPr>
        <w:t>** l’importo riportato al titolo III pari ad € 403.271,38 è depurato dall’importo corrisposto per il personale comandato presso altre amministrazioni che ammonta ad € 111.842,35</w:t>
      </w:r>
    </w:p>
    <w:p w14:paraId="1B39BF3C" w14:textId="77777777" w:rsidR="00BC46E5" w:rsidRDefault="00BC46E5" w:rsidP="000F5C52">
      <w:pPr>
        <w:jc w:val="both"/>
        <w:rPr>
          <w:rFonts w:ascii="Times New Roman" w:hAnsi="Times New Roman"/>
          <w:sz w:val="22"/>
          <w:szCs w:val="22"/>
        </w:rPr>
      </w:pPr>
    </w:p>
    <w:p w14:paraId="794CCE67" w14:textId="77777777" w:rsidR="009A21C8" w:rsidRPr="00BC46E5" w:rsidRDefault="009A21C8" w:rsidP="000F5C52">
      <w:pPr>
        <w:jc w:val="both"/>
        <w:rPr>
          <w:rFonts w:ascii="Times New Roman" w:hAnsi="Times New Roman"/>
          <w:sz w:val="22"/>
          <w:szCs w:val="22"/>
        </w:rPr>
      </w:pPr>
    </w:p>
    <w:p w14:paraId="26CF882F" w14:textId="50FF7DC0" w:rsidR="000F5C52" w:rsidRPr="008B129E" w:rsidRDefault="000F5C52" w:rsidP="000F5C52">
      <w:pPr>
        <w:jc w:val="both"/>
        <w:rPr>
          <w:rFonts w:ascii="Times New Roman" w:hAnsi="Times New Roman"/>
          <w:sz w:val="22"/>
          <w:szCs w:val="22"/>
        </w:rPr>
      </w:pPr>
      <w:r w:rsidRPr="008B129E">
        <w:rPr>
          <w:rFonts w:ascii="Times New Roman" w:hAnsi="Times New Roman"/>
          <w:b/>
          <w:bCs/>
          <w:sz w:val="22"/>
          <w:szCs w:val="22"/>
        </w:rPr>
        <w:t>RAPPORTO SPESA DEL PERSONALE / MEDIA ENTRATE CORRENTI</w:t>
      </w:r>
    </w:p>
    <w:p w14:paraId="02A843A0" w14:textId="77777777" w:rsidR="000F5C52" w:rsidRPr="008B129E" w:rsidRDefault="000F5C52" w:rsidP="000F5C52">
      <w:pPr>
        <w:jc w:val="both"/>
        <w:rPr>
          <w:rFonts w:ascii="Times New Roman" w:hAnsi="Times New Roman"/>
          <w:sz w:val="22"/>
          <w:szCs w:val="22"/>
        </w:rPr>
      </w:pPr>
    </w:p>
    <w:p w14:paraId="0C370EB8" w14:textId="48C5132B"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La percentuale scaturente dal rapporto tra spesa del personale e media delle entrate correnti è del </w:t>
      </w:r>
      <w:r w:rsidR="008E416A" w:rsidRPr="008B129E">
        <w:rPr>
          <w:rFonts w:ascii="Times New Roman" w:hAnsi="Times New Roman"/>
          <w:sz w:val="22"/>
          <w:szCs w:val="22"/>
        </w:rPr>
        <w:t>29</w:t>
      </w:r>
      <w:r w:rsidRPr="008B129E">
        <w:rPr>
          <w:rFonts w:ascii="Times New Roman" w:hAnsi="Times New Roman"/>
          <w:sz w:val="22"/>
          <w:szCs w:val="22"/>
        </w:rPr>
        <w:t>,</w:t>
      </w:r>
      <w:r w:rsidR="00BC46E5">
        <w:rPr>
          <w:rFonts w:ascii="Times New Roman" w:hAnsi="Times New Roman"/>
          <w:sz w:val="22"/>
          <w:szCs w:val="22"/>
        </w:rPr>
        <w:t>50</w:t>
      </w:r>
      <w:r w:rsidRPr="008B129E">
        <w:rPr>
          <w:rFonts w:ascii="Times New Roman" w:hAnsi="Times New Roman"/>
          <w:sz w:val="22"/>
          <w:szCs w:val="22"/>
        </w:rPr>
        <w:t xml:space="preserve"> %, quindi compresa tra il valore soglia di massima spesa del personale (stabilito dal decreto all'art. 4) ed il valore soglia di rientro (fissato dal successivo art. 6) per i Comuni rientranti per popolazione nella fascia f).</w:t>
      </w:r>
    </w:p>
    <w:p w14:paraId="373C6829"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Si ribadisce che l’art. 6, co. 3, del citato </w:t>
      </w:r>
      <w:proofErr w:type="spellStart"/>
      <w:r w:rsidRPr="008B129E">
        <w:rPr>
          <w:rFonts w:ascii="Times New Roman" w:hAnsi="Times New Roman"/>
          <w:sz w:val="22"/>
          <w:szCs w:val="22"/>
        </w:rPr>
        <w:t>dPCM</w:t>
      </w:r>
      <w:proofErr w:type="spellEnd"/>
      <w:r w:rsidRPr="008B129E">
        <w:rPr>
          <w:rFonts w:ascii="Times New Roman" w:hAnsi="Times New Roman"/>
          <w:sz w:val="22"/>
          <w:szCs w:val="22"/>
        </w:rPr>
        <w:t xml:space="preserve"> consente ai Comuni che si trovano nella cd fascia intermedia di utilizzare la propria capacità assunzione fermo restando il vincolo di non incrementare il valore del </w:t>
      </w:r>
      <w:proofErr w:type="gramStart"/>
      <w:r w:rsidRPr="008B129E">
        <w:rPr>
          <w:rFonts w:ascii="Times New Roman" w:hAnsi="Times New Roman"/>
          <w:sz w:val="22"/>
          <w:szCs w:val="22"/>
        </w:rPr>
        <w:t>predetto</w:t>
      </w:r>
      <w:proofErr w:type="gramEnd"/>
      <w:r w:rsidRPr="008B129E">
        <w:rPr>
          <w:rFonts w:ascii="Times New Roman" w:hAnsi="Times New Roman"/>
          <w:sz w:val="22"/>
          <w:szCs w:val="22"/>
        </w:rPr>
        <w:t xml:space="preserve"> rapporto rispetto a quello corrispondente registrato nell'ultimo rendiconto della gestione approvato.</w:t>
      </w:r>
    </w:p>
    <w:p w14:paraId="2374CA06" w14:textId="77777777" w:rsidR="000F5C52" w:rsidRPr="008B129E" w:rsidRDefault="000F5C52" w:rsidP="000F5C52">
      <w:pPr>
        <w:jc w:val="both"/>
        <w:rPr>
          <w:rFonts w:ascii="Times New Roman" w:hAnsi="Times New Roman"/>
          <w:sz w:val="22"/>
          <w:szCs w:val="22"/>
        </w:rPr>
      </w:pPr>
    </w:p>
    <w:p w14:paraId="7F4BAE57" w14:textId="77777777" w:rsidR="008E416A" w:rsidRPr="008B129E" w:rsidRDefault="008E416A" w:rsidP="000F5C52">
      <w:pPr>
        <w:jc w:val="both"/>
        <w:rPr>
          <w:rFonts w:ascii="Times New Roman" w:hAnsi="Times New Roman"/>
          <w:sz w:val="22"/>
          <w:szCs w:val="22"/>
        </w:rPr>
      </w:pPr>
    </w:p>
    <w:p w14:paraId="52770A44" w14:textId="77777777" w:rsidR="000F5C52" w:rsidRPr="008B129E" w:rsidRDefault="000F5C52" w:rsidP="000F5C52">
      <w:pPr>
        <w:jc w:val="both"/>
        <w:rPr>
          <w:rFonts w:ascii="Times New Roman" w:hAnsi="Times New Roman"/>
          <w:sz w:val="22"/>
          <w:szCs w:val="22"/>
        </w:rPr>
      </w:pPr>
      <w:r w:rsidRPr="008B129E">
        <w:rPr>
          <w:rFonts w:ascii="Times New Roman" w:hAnsi="Times New Roman"/>
          <w:b/>
          <w:bCs/>
          <w:sz w:val="22"/>
          <w:szCs w:val="22"/>
        </w:rPr>
        <w:t>2. Programmazione assunzioni e piano triennale del fabbisogno 2025/2027</w:t>
      </w:r>
    </w:p>
    <w:p w14:paraId="3BD1B47C"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Preso atto che nella programmazione triennale del fabbisogno del personale 2025 sono state programmate nell'annualità 2025, 2026 e 2027 assunzioni di diverse figure professionali, così come descritto nell'allegata tabella:</w:t>
      </w:r>
    </w:p>
    <w:p w14:paraId="7705D475" w14:textId="77777777" w:rsidR="000F5C52" w:rsidRPr="008B129E" w:rsidRDefault="000F5C52" w:rsidP="000F5C52">
      <w:pPr>
        <w:jc w:val="both"/>
        <w:rPr>
          <w:rFonts w:ascii="Times New Roman" w:hAnsi="Times New Roman"/>
          <w:sz w:val="22"/>
          <w:szCs w:val="22"/>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1330"/>
        <w:gridCol w:w="3119"/>
        <w:gridCol w:w="4683"/>
      </w:tblGrid>
      <w:tr w:rsidR="000F5C52" w:rsidRPr="008B129E" w14:paraId="3346E3AA" w14:textId="77777777" w:rsidTr="00AF6439">
        <w:trPr>
          <w:jc w:val="center"/>
        </w:trPr>
        <w:tc>
          <w:tcPr>
            <w:tcW w:w="1330" w:type="dxa"/>
            <w:tcBorders>
              <w:top w:val="single" w:sz="1" w:space="0" w:color="000000"/>
              <w:left w:val="single" w:sz="1" w:space="0" w:color="000000"/>
              <w:bottom w:val="single" w:sz="1" w:space="0" w:color="000000"/>
            </w:tcBorders>
          </w:tcPr>
          <w:p w14:paraId="35B47D6C" w14:textId="77777777" w:rsidR="000F5C52" w:rsidRPr="008B129E" w:rsidRDefault="000F5C52" w:rsidP="00AF6439">
            <w:pPr>
              <w:pStyle w:val="Contenutotabella"/>
              <w:jc w:val="center"/>
              <w:rPr>
                <w:rFonts w:eastAsia="Arial"/>
                <w:b/>
                <w:sz w:val="22"/>
                <w:szCs w:val="22"/>
              </w:rPr>
            </w:pPr>
            <w:r w:rsidRPr="008B129E">
              <w:rPr>
                <w:rFonts w:eastAsia="Arial"/>
                <w:b/>
                <w:sz w:val="22"/>
                <w:szCs w:val="22"/>
              </w:rPr>
              <w:t>ANNO</w:t>
            </w:r>
          </w:p>
        </w:tc>
        <w:tc>
          <w:tcPr>
            <w:tcW w:w="3119" w:type="dxa"/>
            <w:tcBorders>
              <w:top w:val="single" w:sz="1" w:space="0" w:color="000000"/>
              <w:left w:val="single" w:sz="1" w:space="0" w:color="000000"/>
              <w:bottom w:val="single" w:sz="1" w:space="0" w:color="000000"/>
            </w:tcBorders>
          </w:tcPr>
          <w:p w14:paraId="683C67E2" w14:textId="77777777" w:rsidR="000F5C52" w:rsidRPr="008B129E" w:rsidRDefault="000F5C52" w:rsidP="00AF6439">
            <w:pPr>
              <w:pStyle w:val="Contenutotabella"/>
              <w:jc w:val="center"/>
              <w:rPr>
                <w:rFonts w:eastAsia="Arial"/>
                <w:b/>
                <w:sz w:val="22"/>
                <w:szCs w:val="22"/>
              </w:rPr>
            </w:pPr>
            <w:r w:rsidRPr="008B129E">
              <w:rPr>
                <w:rFonts w:eastAsia="Arial"/>
                <w:b/>
                <w:sz w:val="22"/>
                <w:szCs w:val="22"/>
              </w:rPr>
              <w:t>CAT. PROFILO – TIPOLOGIA</w:t>
            </w:r>
          </w:p>
        </w:tc>
        <w:tc>
          <w:tcPr>
            <w:tcW w:w="4683" w:type="dxa"/>
            <w:tcBorders>
              <w:top w:val="single" w:sz="1" w:space="0" w:color="000000"/>
              <w:left w:val="single" w:sz="1" w:space="0" w:color="000000"/>
              <w:bottom w:val="single" w:sz="1" w:space="0" w:color="000000"/>
              <w:right w:val="single" w:sz="1" w:space="0" w:color="000000"/>
            </w:tcBorders>
          </w:tcPr>
          <w:p w14:paraId="706A2629" w14:textId="77777777" w:rsidR="000F5C52" w:rsidRPr="008B129E" w:rsidRDefault="000F5C52" w:rsidP="00AF6439">
            <w:pPr>
              <w:pStyle w:val="Contenutotabella"/>
              <w:jc w:val="center"/>
              <w:rPr>
                <w:sz w:val="22"/>
                <w:szCs w:val="22"/>
              </w:rPr>
            </w:pPr>
            <w:r w:rsidRPr="008B129E">
              <w:rPr>
                <w:rFonts w:eastAsia="Arial"/>
                <w:b/>
                <w:sz w:val="22"/>
                <w:szCs w:val="22"/>
              </w:rPr>
              <w:t>MODALITA' ACCESSO</w:t>
            </w:r>
          </w:p>
        </w:tc>
      </w:tr>
      <w:tr w:rsidR="000F5C52" w:rsidRPr="008B129E" w14:paraId="1296808A" w14:textId="77777777" w:rsidTr="00AF6439">
        <w:trPr>
          <w:jc w:val="center"/>
        </w:trPr>
        <w:tc>
          <w:tcPr>
            <w:tcW w:w="1329" w:type="dxa"/>
            <w:tcBorders>
              <w:top w:val="single" w:sz="1" w:space="0" w:color="000000"/>
              <w:left w:val="single" w:sz="1" w:space="0" w:color="000000"/>
              <w:bottom w:val="single" w:sz="1" w:space="0" w:color="000000"/>
            </w:tcBorders>
          </w:tcPr>
          <w:p w14:paraId="4198B278" w14:textId="77777777" w:rsidR="000F5C52" w:rsidRPr="008B129E" w:rsidRDefault="000F5C52" w:rsidP="00AF6439">
            <w:pPr>
              <w:pStyle w:val="Contenutotabella"/>
              <w:jc w:val="center"/>
              <w:rPr>
                <w:rFonts w:eastAsia="Arial"/>
                <w:sz w:val="22"/>
                <w:szCs w:val="22"/>
              </w:rPr>
            </w:pPr>
            <w:r w:rsidRPr="008B129E">
              <w:rPr>
                <w:rFonts w:eastAsia="Arial"/>
                <w:b/>
                <w:bCs/>
                <w:sz w:val="22"/>
                <w:szCs w:val="22"/>
              </w:rPr>
              <w:t>2025</w:t>
            </w:r>
          </w:p>
        </w:tc>
        <w:tc>
          <w:tcPr>
            <w:tcW w:w="3119" w:type="dxa"/>
            <w:tcBorders>
              <w:top w:val="single" w:sz="1" w:space="0" w:color="000000"/>
              <w:left w:val="single" w:sz="1" w:space="0" w:color="000000"/>
              <w:bottom w:val="single" w:sz="1" w:space="0" w:color="000000"/>
            </w:tcBorders>
          </w:tcPr>
          <w:p w14:paraId="1A038AE6" w14:textId="77777777" w:rsidR="000F5C52" w:rsidRPr="008B129E" w:rsidRDefault="000F5C52" w:rsidP="00AF6439">
            <w:pPr>
              <w:pStyle w:val="Contenutotabella"/>
              <w:snapToGrid w:val="0"/>
              <w:jc w:val="center"/>
              <w:rPr>
                <w:rFonts w:eastAsia="Arial"/>
                <w:sz w:val="22"/>
                <w:szCs w:val="22"/>
              </w:rPr>
            </w:pPr>
            <w:r w:rsidRPr="008B129E">
              <w:rPr>
                <w:rFonts w:eastAsia="Arial"/>
                <w:sz w:val="22"/>
                <w:szCs w:val="22"/>
              </w:rPr>
              <w:t>Incremento orario 12 h/sett.li Funzionario Avvocato</w:t>
            </w:r>
          </w:p>
          <w:p w14:paraId="14F46336" w14:textId="77777777" w:rsidR="000F5C52" w:rsidRPr="008B129E" w:rsidRDefault="000F5C52" w:rsidP="00AF6439">
            <w:pPr>
              <w:pStyle w:val="Contenutotabella"/>
              <w:snapToGrid w:val="0"/>
              <w:jc w:val="center"/>
              <w:rPr>
                <w:rFonts w:eastAsia="Arial"/>
                <w:sz w:val="22"/>
                <w:szCs w:val="22"/>
              </w:rPr>
            </w:pPr>
          </w:p>
          <w:p w14:paraId="7E8ED74B" w14:textId="77777777" w:rsidR="000F5C52" w:rsidRPr="008B129E" w:rsidRDefault="000F5C52" w:rsidP="00AF6439">
            <w:pPr>
              <w:pStyle w:val="Contenutotabella"/>
              <w:snapToGrid w:val="0"/>
              <w:jc w:val="center"/>
              <w:rPr>
                <w:rFonts w:eastAsia="Arial"/>
                <w:sz w:val="22"/>
                <w:szCs w:val="22"/>
              </w:rPr>
            </w:pPr>
            <w:r w:rsidRPr="008B129E">
              <w:rPr>
                <w:rFonts w:eastAsia="Arial"/>
                <w:sz w:val="22"/>
                <w:szCs w:val="22"/>
              </w:rPr>
              <w:t>n.1 Funzionario E.Q.</w:t>
            </w:r>
          </w:p>
          <w:p w14:paraId="48E65FCB" w14:textId="0318386B" w:rsidR="000F5C52" w:rsidRPr="008B129E" w:rsidRDefault="006328A4" w:rsidP="00AF6439">
            <w:pPr>
              <w:pStyle w:val="Contenutotabella"/>
              <w:snapToGrid w:val="0"/>
              <w:jc w:val="center"/>
              <w:rPr>
                <w:rFonts w:eastAsia="Arial"/>
                <w:sz w:val="22"/>
                <w:szCs w:val="22"/>
              </w:rPr>
            </w:pPr>
            <w:r w:rsidRPr="008B129E">
              <w:rPr>
                <w:color w:val="FF0000"/>
                <w:sz w:val="22"/>
                <w:szCs w:val="22"/>
                <w:lang w:eastAsia="it-IT"/>
              </w:rPr>
              <w:t>Specialista economico-statistico</w:t>
            </w:r>
          </w:p>
          <w:p w14:paraId="48F5B8DA" w14:textId="77777777" w:rsidR="000F5C52" w:rsidRPr="008B129E" w:rsidRDefault="000F5C52" w:rsidP="00AF6439">
            <w:pPr>
              <w:pStyle w:val="Contenutotabella"/>
              <w:snapToGrid w:val="0"/>
              <w:jc w:val="center"/>
              <w:rPr>
                <w:rFonts w:eastAsia="Arial"/>
                <w:sz w:val="22"/>
                <w:szCs w:val="22"/>
              </w:rPr>
            </w:pPr>
          </w:p>
          <w:p w14:paraId="15C14F53" w14:textId="77777777" w:rsidR="000F5C52" w:rsidRPr="008B129E" w:rsidRDefault="000F5C52" w:rsidP="00AF6439">
            <w:pPr>
              <w:pStyle w:val="Contenutotabella"/>
              <w:snapToGrid w:val="0"/>
              <w:jc w:val="center"/>
              <w:rPr>
                <w:rFonts w:eastAsia="Arial"/>
                <w:sz w:val="22"/>
                <w:szCs w:val="22"/>
              </w:rPr>
            </w:pPr>
          </w:p>
          <w:p w14:paraId="340CEB9C" w14:textId="77777777" w:rsidR="000F5C52" w:rsidRPr="008B129E" w:rsidRDefault="000F5C52" w:rsidP="00AF6439">
            <w:pPr>
              <w:pStyle w:val="Contenutotabella"/>
              <w:snapToGrid w:val="0"/>
              <w:jc w:val="center"/>
              <w:rPr>
                <w:rFonts w:eastAsia="Arial"/>
                <w:sz w:val="22"/>
                <w:szCs w:val="22"/>
              </w:rPr>
            </w:pPr>
          </w:p>
          <w:p w14:paraId="6EB78BF2" w14:textId="77777777" w:rsidR="000F5C52" w:rsidRPr="008B129E" w:rsidRDefault="000F5C52" w:rsidP="00AF6439">
            <w:pPr>
              <w:pStyle w:val="Contenutotabella"/>
              <w:snapToGrid w:val="0"/>
              <w:jc w:val="center"/>
              <w:rPr>
                <w:rFonts w:eastAsia="Arial"/>
                <w:sz w:val="22"/>
                <w:szCs w:val="22"/>
              </w:rPr>
            </w:pPr>
            <w:r w:rsidRPr="008B129E">
              <w:rPr>
                <w:rFonts w:eastAsia="Arial"/>
                <w:sz w:val="22"/>
                <w:szCs w:val="22"/>
              </w:rPr>
              <w:t>n.1 Funzionario E.Q.</w:t>
            </w:r>
          </w:p>
          <w:p w14:paraId="1280BFAC" w14:textId="77777777" w:rsidR="000F5C52" w:rsidRPr="008B129E" w:rsidRDefault="000F5C52" w:rsidP="00AF6439">
            <w:pPr>
              <w:pStyle w:val="Contenutotabella"/>
              <w:snapToGrid w:val="0"/>
              <w:jc w:val="center"/>
              <w:rPr>
                <w:rFonts w:eastAsia="Arial"/>
                <w:sz w:val="22"/>
                <w:szCs w:val="22"/>
              </w:rPr>
            </w:pPr>
            <w:r w:rsidRPr="008B129E">
              <w:rPr>
                <w:rFonts w:eastAsia="Arial"/>
                <w:sz w:val="22"/>
                <w:szCs w:val="22"/>
              </w:rPr>
              <w:t>Contabile</w:t>
            </w:r>
          </w:p>
          <w:p w14:paraId="7045ED97" w14:textId="77777777" w:rsidR="000F5C52" w:rsidRPr="008B129E" w:rsidRDefault="000F5C52" w:rsidP="00AF6439">
            <w:pPr>
              <w:pStyle w:val="Contenutotabella"/>
              <w:snapToGrid w:val="0"/>
              <w:jc w:val="center"/>
              <w:rPr>
                <w:rFonts w:eastAsia="Arial"/>
                <w:sz w:val="22"/>
                <w:szCs w:val="22"/>
              </w:rPr>
            </w:pPr>
          </w:p>
          <w:p w14:paraId="4E7F7173" w14:textId="2A5A68B0" w:rsidR="000F5C52" w:rsidRPr="008B129E" w:rsidRDefault="000F5C52" w:rsidP="00AF6439">
            <w:pPr>
              <w:pStyle w:val="Contenutotabella"/>
              <w:snapToGrid w:val="0"/>
              <w:jc w:val="center"/>
              <w:rPr>
                <w:rFonts w:eastAsia="Arial"/>
                <w:sz w:val="22"/>
                <w:szCs w:val="22"/>
              </w:rPr>
            </w:pPr>
            <w:r w:rsidRPr="008B129E">
              <w:rPr>
                <w:rFonts w:eastAsia="Arial"/>
                <w:sz w:val="22"/>
                <w:szCs w:val="22"/>
              </w:rPr>
              <w:t xml:space="preserve">n. </w:t>
            </w:r>
            <w:r w:rsidR="006334D6" w:rsidRPr="008B129E">
              <w:rPr>
                <w:rFonts w:eastAsia="Arial"/>
                <w:sz w:val="22"/>
                <w:szCs w:val="22"/>
              </w:rPr>
              <w:t>4</w:t>
            </w:r>
            <w:r w:rsidRPr="008B129E">
              <w:rPr>
                <w:rFonts w:eastAsia="Arial"/>
                <w:sz w:val="22"/>
                <w:szCs w:val="22"/>
              </w:rPr>
              <w:t xml:space="preserve"> Istruttore Amministrativo/contabile part time 24h/sett.li</w:t>
            </w:r>
          </w:p>
        </w:tc>
        <w:tc>
          <w:tcPr>
            <w:tcW w:w="4683" w:type="dxa"/>
            <w:tcBorders>
              <w:top w:val="single" w:sz="1" w:space="0" w:color="000000"/>
              <w:left w:val="single" w:sz="1" w:space="0" w:color="000000"/>
              <w:bottom w:val="single" w:sz="1" w:space="0" w:color="000000"/>
              <w:right w:val="single" w:sz="1" w:space="0" w:color="000000"/>
            </w:tcBorders>
          </w:tcPr>
          <w:p w14:paraId="0A3031FB" w14:textId="77777777" w:rsidR="000F5C52" w:rsidRPr="008B129E" w:rsidRDefault="000F5C52" w:rsidP="00AF6439">
            <w:pPr>
              <w:pStyle w:val="Contenutotabella"/>
              <w:tabs>
                <w:tab w:val="left" w:pos="952"/>
                <w:tab w:val="center" w:pos="2286"/>
              </w:tabs>
              <w:rPr>
                <w:rFonts w:eastAsia="Arial"/>
                <w:sz w:val="22"/>
                <w:szCs w:val="22"/>
              </w:rPr>
            </w:pPr>
          </w:p>
          <w:p w14:paraId="75FA1E8E" w14:textId="77777777" w:rsidR="000F5C52" w:rsidRPr="008B129E" w:rsidRDefault="000F5C52" w:rsidP="00AF6439">
            <w:pPr>
              <w:pStyle w:val="Contenutotabella"/>
              <w:tabs>
                <w:tab w:val="left" w:pos="952"/>
                <w:tab w:val="center" w:pos="2286"/>
              </w:tabs>
              <w:rPr>
                <w:rFonts w:eastAsia="Arial"/>
                <w:sz w:val="22"/>
                <w:szCs w:val="22"/>
              </w:rPr>
            </w:pPr>
          </w:p>
          <w:p w14:paraId="17732C84" w14:textId="77777777" w:rsidR="000F5C52" w:rsidRPr="008B129E" w:rsidRDefault="000F5C52" w:rsidP="00AF6439">
            <w:pPr>
              <w:pStyle w:val="Contenutotabella"/>
              <w:tabs>
                <w:tab w:val="left" w:pos="952"/>
                <w:tab w:val="center" w:pos="2286"/>
              </w:tabs>
              <w:rPr>
                <w:rFonts w:eastAsia="Arial"/>
                <w:sz w:val="22"/>
                <w:szCs w:val="22"/>
              </w:rPr>
            </w:pPr>
          </w:p>
          <w:p w14:paraId="387F9267" w14:textId="77777777" w:rsidR="000F5C52" w:rsidRPr="008B129E" w:rsidRDefault="000F5C52" w:rsidP="00AF6439">
            <w:pPr>
              <w:pStyle w:val="Contenutotabella"/>
              <w:tabs>
                <w:tab w:val="left" w:pos="952"/>
                <w:tab w:val="center" w:pos="2286"/>
              </w:tabs>
              <w:jc w:val="center"/>
              <w:rPr>
                <w:rFonts w:eastAsia="Arial"/>
                <w:i/>
                <w:iCs/>
                <w:sz w:val="22"/>
                <w:szCs w:val="22"/>
              </w:rPr>
            </w:pPr>
            <w:r w:rsidRPr="008B129E">
              <w:rPr>
                <w:rFonts w:eastAsia="Arial"/>
                <w:sz w:val="22"/>
                <w:szCs w:val="22"/>
              </w:rPr>
              <w:t>Concorso pubblico.</w:t>
            </w:r>
          </w:p>
          <w:p w14:paraId="11205A14" w14:textId="77777777" w:rsidR="000F5C52" w:rsidRPr="008B129E" w:rsidRDefault="000F5C52" w:rsidP="00AF6439">
            <w:pPr>
              <w:pStyle w:val="Contenutotabella"/>
              <w:jc w:val="center"/>
              <w:rPr>
                <w:rFonts w:eastAsia="Arial"/>
                <w:i/>
                <w:iCs/>
                <w:sz w:val="22"/>
                <w:szCs w:val="22"/>
              </w:rPr>
            </w:pPr>
            <w:r w:rsidRPr="008B129E">
              <w:rPr>
                <w:rFonts w:eastAsia="Arial"/>
                <w:i/>
                <w:iCs/>
                <w:sz w:val="22"/>
                <w:szCs w:val="22"/>
              </w:rPr>
              <w:t xml:space="preserve">Assunzione </w:t>
            </w:r>
            <w:proofErr w:type="spellStart"/>
            <w:r w:rsidRPr="008B129E">
              <w:rPr>
                <w:rFonts w:eastAsia="Arial"/>
                <w:i/>
                <w:iCs/>
                <w:sz w:val="22"/>
                <w:szCs w:val="22"/>
              </w:rPr>
              <w:t>eterofinanziata</w:t>
            </w:r>
            <w:proofErr w:type="spellEnd"/>
            <w:r w:rsidRPr="008B129E">
              <w:rPr>
                <w:rFonts w:eastAsia="Arial"/>
                <w:i/>
                <w:iCs/>
                <w:sz w:val="22"/>
                <w:szCs w:val="22"/>
              </w:rPr>
              <w:t xml:space="preserve"> ai sensi dell’art. 1, co. 449, lett. </w:t>
            </w:r>
            <w:proofErr w:type="gramStart"/>
            <w:r w:rsidRPr="008B129E">
              <w:rPr>
                <w:rFonts w:eastAsia="Arial"/>
                <w:i/>
                <w:iCs/>
                <w:sz w:val="22"/>
                <w:szCs w:val="22"/>
              </w:rPr>
              <w:t>d)-</w:t>
            </w:r>
            <w:proofErr w:type="gramEnd"/>
            <w:r w:rsidRPr="008B129E">
              <w:rPr>
                <w:rFonts w:eastAsia="Arial"/>
                <w:i/>
                <w:iCs/>
                <w:sz w:val="22"/>
                <w:szCs w:val="22"/>
              </w:rPr>
              <w:t>quinquies, terzo periodo della L. 232/2016</w:t>
            </w:r>
          </w:p>
          <w:p w14:paraId="212C70E2" w14:textId="77777777" w:rsidR="000F5C52" w:rsidRPr="008B129E" w:rsidRDefault="000F5C52" w:rsidP="00AF6439">
            <w:pPr>
              <w:pStyle w:val="Contenutotabella"/>
              <w:jc w:val="center"/>
              <w:rPr>
                <w:rFonts w:eastAsia="Arial"/>
                <w:sz w:val="22"/>
                <w:szCs w:val="22"/>
              </w:rPr>
            </w:pPr>
          </w:p>
          <w:p w14:paraId="40F349BF" w14:textId="77777777" w:rsidR="000F5C52" w:rsidRPr="008B129E" w:rsidRDefault="000F5C52" w:rsidP="00AF6439">
            <w:pPr>
              <w:pStyle w:val="Contenutotabella"/>
              <w:jc w:val="center"/>
              <w:rPr>
                <w:rFonts w:eastAsia="Arial"/>
                <w:sz w:val="22"/>
                <w:szCs w:val="22"/>
              </w:rPr>
            </w:pPr>
            <w:r w:rsidRPr="008B129E">
              <w:rPr>
                <w:rFonts w:eastAsia="Arial"/>
                <w:sz w:val="22"/>
                <w:szCs w:val="22"/>
              </w:rPr>
              <w:t>mediante progressione verticale ex art. 15 del CCNL FL 16/11/2022</w:t>
            </w:r>
          </w:p>
          <w:p w14:paraId="5060EE57" w14:textId="77777777" w:rsidR="000F5C52" w:rsidRPr="008B129E" w:rsidRDefault="000F5C52" w:rsidP="00AF6439">
            <w:pPr>
              <w:pStyle w:val="Contenutotabella"/>
              <w:jc w:val="center"/>
              <w:rPr>
                <w:rFonts w:eastAsia="Arial"/>
                <w:sz w:val="22"/>
                <w:szCs w:val="22"/>
              </w:rPr>
            </w:pPr>
          </w:p>
          <w:p w14:paraId="1CDAD7D3" w14:textId="77777777" w:rsidR="000F5C52" w:rsidRPr="008B129E" w:rsidRDefault="000F5C52" w:rsidP="00AF6439">
            <w:pPr>
              <w:pStyle w:val="Contenutotabella"/>
              <w:jc w:val="center"/>
              <w:rPr>
                <w:sz w:val="22"/>
                <w:szCs w:val="22"/>
              </w:rPr>
            </w:pPr>
            <w:r w:rsidRPr="008B129E">
              <w:rPr>
                <w:rFonts w:eastAsia="Arial"/>
                <w:sz w:val="22"/>
                <w:szCs w:val="22"/>
              </w:rPr>
              <w:t>Concorso pubblico</w:t>
            </w:r>
          </w:p>
        </w:tc>
      </w:tr>
      <w:tr w:rsidR="000F5C52" w:rsidRPr="008B129E" w14:paraId="2CFA0980" w14:textId="77777777" w:rsidTr="00AF6439">
        <w:trPr>
          <w:jc w:val="center"/>
        </w:trPr>
        <w:tc>
          <w:tcPr>
            <w:tcW w:w="1329" w:type="dxa"/>
            <w:tcBorders>
              <w:left w:val="single" w:sz="1" w:space="0" w:color="000000"/>
              <w:bottom w:val="single" w:sz="1" w:space="0" w:color="000000"/>
            </w:tcBorders>
          </w:tcPr>
          <w:p w14:paraId="32CDDB2A" w14:textId="77777777" w:rsidR="000F5C52" w:rsidRPr="008B129E" w:rsidRDefault="000F5C52" w:rsidP="00AF6439">
            <w:pPr>
              <w:pStyle w:val="Contenutotabella"/>
              <w:jc w:val="center"/>
              <w:rPr>
                <w:rFonts w:eastAsia="Arial"/>
                <w:sz w:val="22"/>
                <w:szCs w:val="22"/>
              </w:rPr>
            </w:pPr>
            <w:r w:rsidRPr="008B129E">
              <w:rPr>
                <w:rFonts w:eastAsia="Arial"/>
                <w:b/>
                <w:bCs/>
                <w:sz w:val="22"/>
                <w:szCs w:val="22"/>
              </w:rPr>
              <w:t>2026</w:t>
            </w:r>
          </w:p>
        </w:tc>
        <w:tc>
          <w:tcPr>
            <w:tcW w:w="3119" w:type="dxa"/>
            <w:tcBorders>
              <w:left w:val="single" w:sz="1" w:space="0" w:color="000000"/>
              <w:bottom w:val="single" w:sz="1" w:space="0" w:color="000000"/>
            </w:tcBorders>
          </w:tcPr>
          <w:p w14:paraId="1E5DBA78" w14:textId="77777777" w:rsidR="000F5C52" w:rsidRPr="008B129E" w:rsidRDefault="000F5C52" w:rsidP="00AF6439">
            <w:pPr>
              <w:pStyle w:val="Contenutotabella"/>
              <w:snapToGrid w:val="0"/>
              <w:jc w:val="center"/>
              <w:rPr>
                <w:rFonts w:eastAsia="Arial"/>
                <w:sz w:val="22"/>
                <w:szCs w:val="22"/>
              </w:rPr>
            </w:pPr>
            <w:r w:rsidRPr="008B129E">
              <w:rPr>
                <w:rFonts w:eastAsia="Arial"/>
                <w:sz w:val="22"/>
                <w:szCs w:val="22"/>
              </w:rPr>
              <w:t>n.4 Funzionario E.Q. Ingegnere</w:t>
            </w:r>
          </w:p>
          <w:p w14:paraId="0CC749C4" w14:textId="77777777" w:rsidR="000F5C52" w:rsidRPr="008B129E" w:rsidRDefault="000F5C52" w:rsidP="00AF6439">
            <w:pPr>
              <w:pStyle w:val="Contenutotabella"/>
              <w:snapToGrid w:val="0"/>
              <w:jc w:val="center"/>
              <w:rPr>
                <w:rFonts w:eastAsia="Arial"/>
                <w:sz w:val="22"/>
                <w:szCs w:val="22"/>
              </w:rPr>
            </w:pPr>
          </w:p>
          <w:p w14:paraId="54659235" w14:textId="77777777" w:rsidR="000F5C52" w:rsidRPr="008B129E" w:rsidRDefault="000F5C52" w:rsidP="00AF6439">
            <w:pPr>
              <w:pStyle w:val="Contenutotabella"/>
              <w:snapToGrid w:val="0"/>
              <w:jc w:val="center"/>
              <w:rPr>
                <w:rFonts w:eastAsia="Arial"/>
                <w:sz w:val="22"/>
                <w:szCs w:val="22"/>
              </w:rPr>
            </w:pPr>
          </w:p>
          <w:p w14:paraId="57A6E953" w14:textId="77777777" w:rsidR="000F5C52" w:rsidRPr="008B129E" w:rsidRDefault="000F5C52" w:rsidP="00AF6439">
            <w:pPr>
              <w:pStyle w:val="Contenutotabella"/>
              <w:snapToGrid w:val="0"/>
              <w:jc w:val="center"/>
              <w:rPr>
                <w:rFonts w:eastAsia="Arial"/>
                <w:sz w:val="22"/>
                <w:szCs w:val="22"/>
              </w:rPr>
            </w:pPr>
          </w:p>
          <w:p w14:paraId="3951E879" w14:textId="77777777" w:rsidR="000F5C52" w:rsidRPr="008B129E" w:rsidRDefault="000F5C52" w:rsidP="00AF6439">
            <w:pPr>
              <w:pStyle w:val="Contenutotabella"/>
              <w:snapToGrid w:val="0"/>
              <w:jc w:val="center"/>
              <w:rPr>
                <w:rFonts w:eastAsia="Arial"/>
                <w:sz w:val="22"/>
                <w:szCs w:val="22"/>
              </w:rPr>
            </w:pPr>
          </w:p>
        </w:tc>
        <w:tc>
          <w:tcPr>
            <w:tcW w:w="4683" w:type="dxa"/>
            <w:tcBorders>
              <w:left w:val="single" w:sz="1" w:space="0" w:color="000000"/>
              <w:bottom w:val="single" w:sz="1" w:space="0" w:color="000000"/>
              <w:right w:val="single" w:sz="1" w:space="0" w:color="000000"/>
            </w:tcBorders>
          </w:tcPr>
          <w:p w14:paraId="16504333" w14:textId="77777777" w:rsidR="000F5C52" w:rsidRPr="008B129E" w:rsidRDefault="000F5C52" w:rsidP="00AF6439">
            <w:pPr>
              <w:pStyle w:val="Contenutotabella"/>
              <w:snapToGrid w:val="0"/>
              <w:jc w:val="both"/>
              <w:rPr>
                <w:rFonts w:eastAsia="Arial"/>
                <w:sz w:val="22"/>
                <w:szCs w:val="22"/>
              </w:rPr>
            </w:pPr>
            <w:r w:rsidRPr="008B129E">
              <w:rPr>
                <w:rFonts w:eastAsia="Arial"/>
                <w:sz w:val="22"/>
                <w:szCs w:val="22"/>
              </w:rPr>
              <w:t>Di cui</w:t>
            </w:r>
          </w:p>
          <w:p w14:paraId="202EBBD1" w14:textId="77777777" w:rsidR="000F5C52" w:rsidRPr="008B129E" w:rsidRDefault="000F5C52" w:rsidP="00AF6439">
            <w:pPr>
              <w:pStyle w:val="Contenutotabella"/>
              <w:snapToGrid w:val="0"/>
              <w:jc w:val="center"/>
              <w:rPr>
                <w:rFonts w:eastAsia="Arial"/>
                <w:sz w:val="22"/>
                <w:szCs w:val="22"/>
              </w:rPr>
            </w:pPr>
            <w:r w:rsidRPr="008B129E">
              <w:rPr>
                <w:rFonts w:eastAsia="Arial"/>
                <w:sz w:val="22"/>
                <w:szCs w:val="22"/>
              </w:rPr>
              <w:t>uno mediante concorso pubblico,</w:t>
            </w:r>
          </w:p>
          <w:p w14:paraId="3BE814EC" w14:textId="77777777" w:rsidR="000F5C52" w:rsidRPr="008B129E" w:rsidRDefault="000F5C52" w:rsidP="00AF6439">
            <w:pPr>
              <w:pStyle w:val="Contenutotabella"/>
              <w:snapToGrid w:val="0"/>
              <w:jc w:val="center"/>
              <w:rPr>
                <w:rFonts w:eastAsia="Arial"/>
                <w:sz w:val="22"/>
                <w:szCs w:val="22"/>
              </w:rPr>
            </w:pPr>
          </w:p>
          <w:p w14:paraId="51776CF6" w14:textId="77777777" w:rsidR="000F5C52" w:rsidRPr="008B129E" w:rsidRDefault="000F5C52" w:rsidP="00AF6439">
            <w:pPr>
              <w:pStyle w:val="Contenutotabella"/>
              <w:snapToGrid w:val="0"/>
              <w:jc w:val="center"/>
              <w:rPr>
                <w:rFonts w:eastAsia="Arial"/>
                <w:sz w:val="22"/>
                <w:szCs w:val="22"/>
              </w:rPr>
            </w:pPr>
            <w:r w:rsidRPr="008B129E">
              <w:rPr>
                <w:rFonts w:eastAsia="Arial"/>
                <w:sz w:val="22"/>
                <w:szCs w:val="22"/>
              </w:rPr>
              <w:t>uno mediante procedura di stabilizzazione ex art. 28, co. 1-bis, del D.L. 75/2023, convertito in L. 112/2023</w:t>
            </w:r>
          </w:p>
          <w:p w14:paraId="6D9C014A" w14:textId="77777777" w:rsidR="000F5C52" w:rsidRPr="008B129E" w:rsidRDefault="000F5C52" w:rsidP="00AF6439">
            <w:pPr>
              <w:pStyle w:val="Contenutotabella"/>
              <w:snapToGrid w:val="0"/>
              <w:jc w:val="center"/>
              <w:rPr>
                <w:rFonts w:eastAsia="Arial"/>
                <w:sz w:val="22"/>
                <w:szCs w:val="22"/>
              </w:rPr>
            </w:pPr>
          </w:p>
          <w:p w14:paraId="14EA719E" w14:textId="77777777" w:rsidR="000F5C52" w:rsidRPr="008B129E" w:rsidRDefault="000F5C52" w:rsidP="00AF6439">
            <w:pPr>
              <w:pStyle w:val="Contenutotabella"/>
              <w:snapToGrid w:val="0"/>
              <w:jc w:val="center"/>
              <w:rPr>
                <w:rFonts w:eastAsia="Arial"/>
                <w:sz w:val="22"/>
                <w:szCs w:val="22"/>
              </w:rPr>
            </w:pPr>
            <w:r w:rsidRPr="008B129E">
              <w:rPr>
                <w:rFonts w:eastAsia="Arial"/>
                <w:sz w:val="22"/>
                <w:szCs w:val="22"/>
              </w:rPr>
              <w:t>e due mediante procedura di stabilizzazione ex art. 3, co. 5, del D.L. 44/2023, convertito con modificazioni dalla L. 21 giugno 2023, n. 74</w:t>
            </w:r>
          </w:p>
          <w:p w14:paraId="01156616" w14:textId="77777777" w:rsidR="000F5C52" w:rsidRPr="008B129E" w:rsidRDefault="000F5C52" w:rsidP="00AF6439">
            <w:pPr>
              <w:pStyle w:val="Contenutotabella"/>
              <w:snapToGrid w:val="0"/>
              <w:jc w:val="center"/>
              <w:rPr>
                <w:rFonts w:eastAsia="Arial"/>
                <w:sz w:val="22"/>
                <w:szCs w:val="22"/>
              </w:rPr>
            </w:pPr>
          </w:p>
        </w:tc>
      </w:tr>
    </w:tbl>
    <w:p w14:paraId="0F4B2D20" w14:textId="77777777" w:rsidR="000F5C52" w:rsidRPr="008B129E" w:rsidRDefault="000F5C52" w:rsidP="000F5C52">
      <w:pPr>
        <w:rPr>
          <w:rFonts w:ascii="Times New Roman" w:hAnsi="Times New Roman"/>
          <w:sz w:val="22"/>
          <w:szCs w:val="22"/>
        </w:rPr>
      </w:pPr>
    </w:p>
    <w:p w14:paraId="520ED763"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   </w:t>
      </w:r>
    </w:p>
    <w:p w14:paraId="0F904EE0" w14:textId="77777777" w:rsidR="001B6244" w:rsidRPr="008B129E" w:rsidRDefault="001B6244" w:rsidP="001B6244">
      <w:pPr>
        <w:jc w:val="both"/>
        <w:rPr>
          <w:rFonts w:ascii="Times New Roman" w:hAnsi="Times New Roman"/>
          <w:sz w:val="22"/>
          <w:szCs w:val="22"/>
        </w:rPr>
      </w:pPr>
      <w:r w:rsidRPr="008B129E">
        <w:rPr>
          <w:rFonts w:ascii="Times New Roman" w:hAnsi="Times New Roman"/>
          <w:sz w:val="22"/>
          <w:szCs w:val="22"/>
        </w:rPr>
        <w:t xml:space="preserve">La spesa dell'annualità 2025 per sostenere l’incremento orario e le suindicate assunzioni (al netto delle assunzioni </w:t>
      </w:r>
      <w:proofErr w:type="spellStart"/>
      <w:r w:rsidRPr="008B129E">
        <w:rPr>
          <w:rFonts w:ascii="Times New Roman" w:hAnsi="Times New Roman"/>
          <w:sz w:val="22"/>
          <w:szCs w:val="22"/>
        </w:rPr>
        <w:t>eterofinanziate</w:t>
      </w:r>
      <w:proofErr w:type="spellEnd"/>
      <w:r w:rsidRPr="008B129E">
        <w:rPr>
          <w:rFonts w:ascii="Times New Roman" w:hAnsi="Times New Roman"/>
          <w:sz w:val="22"/>
          <w:szCs w:val="22"/>
        </w:rPr>
        <w:t xml:space="preserve">) è pari ad € </w:t>
      </w:r>
      <w:r>
        <w:rPr>
          <w:rFonts w:ascii="Times New Roman" w:hAnsi="Times New Roman"/>
          <w:sz w:val="22"/>
          <w:szCs w:val="22"/>
        </w:rPr>
        <w:t>96.081,62</w:t>
      </w:r>
      <w:r w:rsidRPr="008B129E">
        <w:rPr>
          <w:rFonts w:ascii="Times New Roman" w:hAnsi="Times New Roman"/>
          <w:sz w:val="22"/>
          <w:szCs w:val="22"/>
        </w:rPr>
        <w:t xml:space="preserve"> su base annuale.</w:t>
      </w:r>
    </w:p>
    <w:p w14:paraId="5ED07D5D" w14:textId="77777777" w:rsidR="000F5C52" w:rsidRPr="008B129E" w:rsidRDefault="000F5C52" w:rsidP="000F5C52">
      <w:pPr>
        <w:jc w:val="both"/>
        <w:rPr>
          <w:rFonts w:ascii="Times New Roman" w:hAnsi="Times New Roman"/>
          <w:color w:val="000000"/>
          <w:sz w:val="22"/>
          <w:szCs w:val="22"/>
        </w:rPr>
      </w:pPr>
      <w:r w:rsidRPr="008B129E">
        <w:rPr>
          <w:rFonts w:ascii="Times New Roman" w:hAnsi="Times New Roman"/>
          <w:color w:val="000000"/>
          <w:sz w:val="22"/>
          <w:szCs w:val="22"/>
        </w:rPr>
        <w:t>Nell’anno 2026 si prevede una spesa per assunzioni di € 133.966,36.</w:t>
      </w:r>
    </w:p>
    <w:p w14:paraId="7F663A1D" w14:textId="77777777" w:rsidR="000F5C52" w:rsidRPr="008B129E" w:rsidRDefault="000F5C52" w:rsidP="000F5C52">
      <w:pPr>
        <w:jc w:val="both"/>
        <w:rPr>
          <w:rFonts w:ascii="Times New Roman" w:hAnsi="Times New Roman"/>
          <w:b/>
          <w:bCs/>
          <w:color w:val="000000"/>
          <w:sz w:val="22"/>
          <w:szCs w:val="22"/>
        </w:rPr>
      </w:pPr>
    </w:p>
    <w:p w14:paraId="0FD068DE" w14:textId="77777777" w:rsidR="000F5C52" w:rsidRPr="008B129E" w:rsidRDefault="000F5C52" w:rsidP="000F5C52">
      <w:pPr>
        <w:jc w:val="both"/>
        <w:rPr>
          <w:rFonts w:ascii="Times New Roman" w:hAnsi="Times New Roman"/>
          <w:sz w:val="22"/>
          <w:szCs w:val="22"/>
        </w:rPr>
      </w:pPr>
      <w:r w:rsidRPr="008B129E">
        <w:rPr>
          <w:rFonts w:ascii="Times New Roman" w:hAnsi="Times New Roman"/>
          <w:b/>
          <w:bCs/>
          <w:sz w:val="22"/>
          <w:szCs w:val="22"/>
        </w:rPr>
        <w:t xml:space="preserve">3.Rispetto dei vincoli di legge in materia di fabbisogno e reclutamento    </w:t>
      </w:r>
    </w:p>
    <w:p w14:paraId="4953C9B7"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Per la prima volta nell’anno 2022 è stato approvato dalla G.C. il PIAO 2022/2024 con deliberazione n. </w:t>
      </w:r>
      <w:r w:rsidRPr="008B129E">
        <w:rPr>
          <w:rFonts w:ascii="Times New Roman" w:hAnsi="Times New Roman"/>
          <w:b/>
          <w:bCs/>
          <w:sz w:val="22"/>
          <w:szCs w:val="22"/>
        </w:rPr>
        <w:t>104</w:t>
      </w:r>
      <w:r w:rsidRPr="008B129E">
        <w:rPr>
          <w:rFonts w:ascii="Times New Roman" w:hAnsi="Times New Roman"/>
          <w:sz w:val="22"/>
          <w:szCs w:val="22"/>
        </w:rPr>
        <w:t xml:space="preserve"> del </w:t>
      </w:r>
      <w:r w:rsidRPr="008B129E">
        <w:rPr>
          <w:rFonts w:ascii="Times New Roman" w:hAnsi="Times New Roman"/>
          <w:b/>
          <w:bCs/>
          <w:sz w:val="22"/>
          <w:szCs w:val="22"/>
        </w:rPr>
        <w:t>17/10/2022</w:t>
      </w:r>
      <w:r w:rsidRPr="008B129E">
        <w:rPr>
          <w:rFonts w:ascii="Times New Roman" w:hAnsi="Times New Roman"/>
          <w:sz w:val="22"/>
          <w:szCs w:val="22"/>
        </w:rPr>
        <w:t xml:space="preserve">, che è stata inserita nella sezione specifica del Dipartimento della Funzione Pubblica. </w:t>
      </w:r>
    </w:p>
    <w:p w14:paraId="2E6E4CBF"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Con deliberazione di G.C. n. </w:t>
      </w:r>
      <w:r w:rsidRPr="008B129E">
        <w:rPr>
          <w:rFonts w:ascii="Times New Roman" w:hAnsi="Times New Roman"/>
          <w:b/>
          <w:bCs/>
          <w:sz w:val="22"/>
          <w:szCs w:val="22"/>
        </w:rPr>
        <w:t>64</w:t>
      </w:r>
      <w:r w:rsidRPr="008B129E">
        <w:rPr>
          <w:rFonts w:ascii="Times New Roman" w:hAnsi="Times New Roman"/>
          <w:sz w:val="22"/>
          <w:szCs w:val="22"/>
        </w:rPr>
        <w:t xml:space="preserve"> del </w:t>
      </w:r>
      <w:r w:rsidRPr="008B129E">
        <w:rPr>
          <w:rFonts w:ascii="Times New Roman" w:hAnsi="Times New Roman"/>
          <w:b/>
          <w:bCs/>
          <w:sz w:val="22"/>
          <w:szCs w:val="22"/>
        </w:rPr>
        <w:t>08/05/2023</w:t>
      </w:r>
      <w:r w:rsidRPr="008B129E">
        <w:rPr>
          <w:rFonts w:ascii="Times New Roman" w:hAnsi="Times New Roman"/>
          <w:sz w:val="22"/>
          <w:szCs w:val="22"/>
        </w:rPr>
        <w:t xml:space="preserve"> è stato approvato il PIAO provvisorio relativo al triennio 2023/2025.</w:t>
      </w:r>
    </w:p>
    <w:p w14:paraId="5882F801"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Con deliberazione di G.C. n. </w:t>
      </w:r>
      <w:r w:rsidRPr="008B129E">
        <w:rPr>
          <w:rFonts w:ascii="Times New Roman" w:hAnsi="Times New Roman"/>
          <w:b/>
          <w:bCs/>
          <w:sz w:val="22"/>
          <w:szCs w:val="22"/>
        </w:rPr>
        <w:t>128</w:t>
      </w:r>
      <w:r w:rsidRPr="008B129E">
        <w:rPr>
          <w:rFonts w:ascii="Times New Roman" w:hAnsi="Times New Roman"/>
          <w:sz w:val="22"/>
          <w:szCs w:val="22"/>
        </w:rPr>
        <w:t xml:space="preserve"> del </w:t>
      </w:r>
      <w:r w:rsidRPr="008B129E">
        <w:rPr>
          <w:rFonts w:ascii="Times New Roman" w:hAnsi="Times New Roman"/>
          <w:b/>
          <w:bCs/>
          <w:sz w:val="22"/>
          <w:szCs w:val="22"/>
        </w:rPr>
        <w:t>01/12/2023</w:t>
      </w:r>
      <w:r w:rsidRPr="008B129E">
        <w:rPr>
          <w:rFonts w:ascii="Times New Roman" w:hAnsi="Times New Roman"/>
          <w:sz w:val="22"/>
          <w:szCs w:val="22"/>
        </w:rPr>
        <w:t xml:space="preserve"> è stato approvato il PIAO definitivo relativo al triennio 2023/2025.</w:t>
      </w:r>
    </w:p>
    <w:p w14:paraId="3371162E"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Con deliberazione di G.C. n. </w:t>
      </w:r>
      <w:r w:rsidRPr="008B129E">
        <w:rPr>
          <w:rFonts w:ascii="Times New Roman" w:hAnsi="Times New Roman"/>
          <w:b/>
          <w:bCs/>
          <w:sz w:val="22"/>
          <w:szCs w:val="22"/>
        </w:rPr>
        <w:t>101</w:t>
      </w:r>
      <w:r w:rsidRPr="008B129E">
        <w:rPr>
          <w:rFonts w:ascii="Times New Roman" w:hAnsi="Times New Roman"/>
          <w:sz w:val="22"/>
          <w:szCs w:val="22"/>
        </w:rPr>
        <w:t xml:space="preserve"> del </w:t>
      </w:r>
      <w:r w:rsidRPr="008B129E">
        <w:rPr>
          <w:rFonts w:ascii="Times New Roman" w:hAnsi="Times New Roman"/>
          <w:b/>
          <w:bCs/>
          <w:sz w:val="22"/>
          <w:szCs w:val="22"/>
        </w:rPr>
        <w:t>06/10/2023</w:t>
      </w:r>
      <w:r w:rsidRPr="008B129E">
        <w:rPr>
          <w:rFonts w:ascii="Times New Roman" w:hAnsi="Times New Roman"/>
          <w:sz w:val="22"/>
          <w:szCs w:val="22"/>
        </w:rPr>
        <w:t xml:space="preserve"> è stata approvata una modifica al piano triennale del Fabbisogno 2023/2025.</w:t>
      </w:r>
    </w:p>
    <w:p w14:paraId="146CB80F"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Con deliberazione di G.C. n. </w:t>
      </w:r>
      <w:r w:rsidRPr="008B129E">
        <w:rPr>
          <w:rFonts w:ascii="Times New Roman" w:hAnsi="Times New Roman"/>
          <w:b/>
          <w:bCs/>
          <w:sz w:val="22"/>
          <w:szCs w:val="22"/>
        </w:rPr>
        <w:t>51</w:t>
      </w:r>
      <w:r w:rsidRPr="008B129E">
        <w:rPr>
          <w:rFonts w:ascii="Times New Roman" w:hAnsi="Times New Roman"/>
          <w:sz w:val="22"/>
          <w:szCs w:val="22"/>
        </w:rPr>
        <w:t xml:space="preserve"> del </w:t>
      </w:r>
      <w:r w:rsidRPr="008B129E">
        <w:rPr>
          <w:rFonts w:ascii="Times New Roman" w:hAnsi="Times New Roman"/>
          <w:b/>
          <w:bCs/>
          <w:sz w:val="22"/>
          <w:szCs w:val="22"/>
        </w:rPr>
        <w:t>12/04/2024</w:t>
      </w:r>
      <w:r w:rsidRPr="008B129E">
        <w:rPr>
          <w:rFonts w:ascii="Times New Roman" w:hAnsi="Times New Roman"/>
          <w:sz w:val="22"/>
          <w:szCs w:val="22"/>
        </w:rPr>
        <w:t xml:space="preserve"> è stato approvato il PIAO provvisorio relativo al triennio 2024/2026.</w:t>
      </w:r>
    </w:p>
    <w:p w14:paraId="29DDC6A8"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Con deliberazione di G.C. n. </w:t>
      </w:r>
      <w:r w:rsidRPr="008B129E">
        <w:rPr>
          <w:rFonts w:ascii="Times New Roman" w:hAnsi="Times New Roman"/>
          <w:b/>
          <w:bCs/>
          <w:sz w:val="22"/>
          <w:szCs w:val="22"/>
        </w:rPr>
        <w:t>118</w:t>
      </w:r>
      <w:r w:rsidRPr="008B129E">
        <w:rPr>
          <w:rFonts w:ascii="Times New Roman" w:hAnsi="Times New Roman"/>
          <w:sz w:val="22"/>
          <w:szCs w:val="22"/>
        </w:rPr>
        <w:t xml:space="preserve"> del </w:t>
      </w:r>
      <w:r w:rsidRPr="008B129E">
        <w:rPr>
          <w:rFonts w:ascii="Times New Roman" w:hAnsi="Times New Roman"/>
          <w:b/>
          <w:bCs/>
          <w:sz w:val="22"/>
          <w:szCs w:val="22"/>
        </w:rPr>
        <w:t>27 agosto 2024</w:t>
      </w:r>
      <w:r w:rsidRPr="008B129E">
        <w:rPr>
          <w:rFonts w:ascii="Times New Roman" w:hAnsi="Times New Roman"/>
          <w:sz w:val="22"/>
          <w:szCs w:val="22"/>
        </w:rPr>
        <w:t xml:space="preserve"> è stato approvato il PIAO definitivo relativo al triennio 2024/2027, successivamente modificato con deliberazione di G.C. n. </w:t>
      </w:r>
      <w:r w:rsidRPr="008B129E">
        <w:rPr>
          <w:rFonts w:ascii="Times New Roman" w:hAnsi="Times New Roman"/>
          <w:b/>
          <w:bCs/>
          <w:sz w:val="22"/>
          <w:szCs w:val="22"/>
        </w:rPr>
        <w:t>159</w:t>
      </w:r>
      <w:r w:rsidRPr="008B129E">
        <w:rPr>
          <w:rFonts w:ascii="Times New Roman" w:hAnsi="Times New Roman"/>
          <w:sz w:val="22"/>
          <w:szCs w:val="22"/>
        </w:rPr>
        <w:t xml:space="preserve"> del </w:t>
      </w:r>
      <w:r w:rsidRPr="008B129E">
        <w:rPr>
          <w:rFonts w:ascii="Times New Roman" w:hAnsi="Times New Roman"/>
          <w:b/>
          <w:bCs/>
          <w:sz w:val="22"/>
          <w:szCs w:val="22"/>
        </w:rPr>
        <w:t>29 ottobre 2024</w:t>
      </w:r>
    </w:p>
    <w:p w14:paraId="3C1ADF24"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Con cadenza annuale l'Ente provvede alla ricognizione delle eccedenze di personale e situazioni di soprannumero, ai sensi dell'art, 33 c. 1 D.</w:t>
      </w:r>
      <w:proofErr w:type="gramStart"/>
      <w:r w:rsidRPr="008B129E">
        <w:rPr>
          <w:rFonts w:ascii="Times New Roman" w:hAnsi="Times New Roman"/>
          <w:sz w:val="22"/>
          <w:szCs w:val="22"/>
        </w:rPr>
        <w:t>L.vo</w:t>
      </w:r>
      <w:proofErr w:type="gramEnd"/>
      <w:r w:rsidRPr="008B129E">
        <w:rPr>
          <w:rFonts w:ascii="Times New Roman" w:hAnsi="Times New Roman"/>
          <w:sz w:val="22"/>
          <w:szCs w:val="22"/>
        </w:rPr>
        <w:t xml:space="preserve"> n. 165/2001, che </w:t>
      </w:r>
      <w:r w:rsidRPr="008B129E">
        <w:rPr>
          <w:rFonts w:ascii="Times New Roman" w:hAnsi="Times New Roman"/>
          <w:sz w:val="22"/>
          <w:szCs w:val="22"/>
          <w:shd w:val="clear" w:color="auto" w:fill="FFFFFF"/>
        </w:rPr>
        <w:t>è stata attestata per l'anno 2024 dai Responsabili di Area l'assenza di situazione di eccedenza funzionale e finanziaria, giuste attestazioni agli atti dell'ufficio personale e deliberazione della G.C. n. 147 dell’11 ottobre 2024.</w:t>
      </w:r>
    </w:p>
    <w:p w14:paraId="6DEF4630"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Un altro adempimento indispensabile per effettuare le assunzioni in un Ente è l'approvazione del piano triennale delle azioni positive finalizzato ad assicurare la rimozione degli ostacoli che, di fatto, impediscono la piena realizzazione di pari opportunità di lavoro e nel lavoro tra uomini e donne di cui all'art. 48 del </w:t>
      </w:r>
      <w:proofErr w:type="spellStart"/>
      <w:r w:rsidRPr="008B129E">
        <w:rPr>
          <w:rFonts w:ascii="Times New Roman" w:hAnsi="Times New Roman"/>
          <w:sz w:val="22"/>
          <w:szCs w:val="22"/>
        </w:rPr>
        <w:t>D.Lgs.n</w:t>
      </w:r>
      <w:proofErr w:type="spellEnd"/>
      <w:r w:rsidRPr="008B129E">
        <w:rPr>
          <w:rFonts w:ascii="Times New Roman" w:hAnsi="Times New Roman"/>
          <w:sz w:val="22"/>
          <w:szCs w:val="22"/>
        </w:rPr>
        <w:t xml:space="preserve">. 198/2006, e del piano operativo per il lavoro agile (POLA), documenti tutti che sono stati riuniti all’interno del Piano Integrato delle Attività e dell’Organizzazione (PIAO).  </w:t>
      </w:r>
    </w:p>
    <w:p w14:paraId="0F647EAD"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Ai fini delle cosiddette assunzioni obbligatorie, in data 22/01/2025, è stato trasmesso il prospetto informativo, con data riferimento 31/12/2024 (codice comunicazione 1608725B00187596 – protocollo sistema 00022201), dal cui dettaglio della ricevuta non si evincono scoperture, né per disabili (L. 68/99 – art. 1) né per categorie protette (L. 68/99 – art. 18).</w:t>
      </w:r>
    </w:p>
    <w:p w14:paraId="1D5C613B"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Il termine per l’approvazione del bilancio di previsione 2025/2027 è stato differito al 28 febbraio 2025 giusta decreto del Ministro dell'Interno del 24 dicembre 2024. </w:t>
      </w:r>
    </w:p>
    <w:p w14:paraId="7C0AD89D" w14:textId="77777777" w:rsidR="000F5C52" w:rsidRPr="008B129E" w:rsidRDefault="000F5C52" w:rsidP="000F5C52">
      <w:pPr>
        <w:jc w:val="both"/>
        <w:rPr>
          <w:rFonts w:ascii="Times New Roman" w:hAnsi="Times New Roman"/>
          <w:sz w:val="22"/>
          <w:szCs w:val="22"/>
        </w:rPr>
      </w:pPr>
    </w:p>
    <w:p w14:paraId="47250A7A" w14:textId="77777777" w:rsidR="000F5C52" w:rsidRPr="008B129E" w:rsidRDefault="000F5C52" w:rsidP="000F5C52">
      <w:pPr>
        <w:jc w:val="both"/>
        <w:rPr>
          <w:rFonts w:ascii="Times New Roman" w:hAnsi="Times New Roman"/>
          <w:sz w:val="22"/>
          <w:szCs w:val="22"/>
        </w:rPr>
      </w:pPr>
      <w:r w:rsidRPr="008B129E">
        <w:rPr>
          <w:rFonts w:ascii="Times New Roman" w:hAnsi="Times New Roman"/>
          <w:b/>
          <w:bCs/>
          <w:sz w:val="22"/>
          <w:szCs w:val="22"/>
        </w:rPr>
        <w:t>4.Dotazione Organica</w:t>
      </w:r>
      <w:r w:rsidRPr="008B129E">
        <w:rPr>
          <w:rFonts w:ascii="Times New Roman" w:hAnsi="Times New Roman"/>
          <w:sz w:val="22"/>
          <w:szCs w:val="22"/>
        </w:rPr>
        <w:t xml:space="preserve">     </w:t>
      </w:r>
    </w:p>
    <w:p w14:paraId="730FC581"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L'analisi della situazione del personale dipendente in servizio alla data del 31/12/2024 è la seguente:</w:t>
      </w:r>
    </w:p>
    <w:p w14:paraId="3F18E83D" w14:textId="77777777" w:rsidR="000F5C52" w:rsidRPr="008B129E" w:rsidRDefault="000F5C52" w:rsidP="000F5C52">
      <w:pPr>
        <w:jc w:val="both"/>
        <w:rPr>
          <w:rFonts w:ascii="Times New Roman" w:hAnsi="Times New Roman"/>
          <w:sz w:val="22"/>
          <w:szCs w:val="22"/>
        </w:rPr>
      </w:pPr>
    </w:p>
    <w:tbl>
      <w:tblPr>
        <w:tblW w:w="9228" w:type="dxa"/>
        <w:jc w:val="center"/>
        <w:tblLayout w:type="fixed"/>
        <w:tblCellMar>
          <w:top w:w="55" w:type="dxa"/>
          <w:left w:w="55" w:type="dxa"/>
          <w:bottom w:w="55" w:type="dxa"/>
          <w:right w:w="55" w:type="dxa"/>
        </w:tblCellMar>
        <w:tblLook w:val="0000" w:firstRow="0" w:lastRow="0" w:firstColumn="0" w:lastColumn="0" w:noHBand="0" w:noVBand="0"/>
      </w:tblPr>
      <w:tblGrid>
        <w:gridCol w:w="2260"/>
        <w:gridCol w:w="2260"/>
        <w:gridCol w:w="2260"/>
        <w:gridCol w:w="2448"/>
      </w:tblGrid>
      <w:tr w:rsidR="000F5C52" w:rsidRPr="008B129E" w14:paraId="74810307" w14:textId="77777777" w:rsidTr="00AF6439">
        <w:trPr>
          <w:jc w:val="center"/>
        </w:trPr>
        <w:tc>
          <w:tcPr>
            <w:tcW w:w="2260" w:type="dxa"/>
            <w:tcBorders>
              <w:top w:val="single" w:sz="1" w:space="0" w:color="000000"/>
              <w:left w:val="single" w:sz="1" w:space="0" w:color="000000"/>
              <w:bottom w:val="single" w:sz="1" w:space="0" w:color="000000"/>
            </w:tcBorders>
          </w:tcPr>
          <w:p w14:paraId="39924819" w14:textId="77777777" w:rsidR="000F5C52" w:rsidRPr="008B129E" w:rsidRDefault="000F5C52" w:rsidP="00AF6439">
            <w:pPr>
              <w:pStyle w:val="Contenutotabella"/>
              <w:rPr>
                <w:sz w:val="22"/>
                <w:szCs w:val="22"/>
              </w:rPr>
            </w:pPr>
            <w:r w:rsidRPr="008B129E">
              <w:rPr>
                <w:sz w:val="22"/>
                <w:szCs w:val="22"/>
              </w:rPr>
              <w:t xml:space="preserve">  Categoria</w:t>
            </w:r>
          </w:p>
        </w:tc>
        <w:tc>
          <w:tcPr>
            <w:tcW w:w="2260" w:type="dxa"/>
            <w:tcBorders>
              <w:top w:val="single" w:sz="1" w:space="0" w:color="000000"/>
              <w:left w:val="single" w:sz="1" w:space="0" w:color="000000"/>
              <w:bottom w:val="single" w:sz="1" w:space="0" w:color="000000"/>
            </w:tcBorders>
          </w:tcPr>
          <w:p w14:paraId="3BE4BC0D" w14:textId="77777777" w:rsidR="000F5C52" w:rsidRPr="008B129E" w:rsidRDefault="000F5C52" w:rsidP="00AF6439">
            <w:pPr>
              <w:pStyle w:val="Contenutotabella"/>
              <w:rPr>
                <w:sz w:val="22"/>
                <w:szCs w:val="22"/>
              </w:rPr>
            </w:pPr>
            <w:r w:rsidRPr="008B129E">
              <w:rPr>
                <w:sz w:val="22"/>
                <w:szCs w:val="22"/>
              </w:rPr>
              <w:t xml:space="preserve">  Totale Dipendenti </w:t>
            </w:r>
          </w:p>
        </w:tc>
        <w:tc>
          <w:tcPr>
            <w:tcW w:w="2260" w:type="dxa"/>
            <w:tcBorders>
              <w:top w:val="single" w:sz="1" w:space="0" w:color="000000"/>
              <w:left w:val="single" w:sz="1" w:space="0" w:color="000000"/>
              <w:bottom w:val="single" w:sz="1" w:space="0" w:color="000000"/>
            </w:tcBorders>
          </w:tcPr>
          <w:p w14:paraId="510F17D0" w14:textId="77777777" w:rsidR="000F5C52" w:rsidRPr="008B129E" w:rsidRDefault="000F5C52" w:rsidP="00AF6439">
            <w:pPr>
              <w:pStyle w:val="Contenutotabella"/>
              <w:rPr>
                <w:sz w:val="22"/>
                <w:szCs w:val="22"/>
              </w:rPr>
            </w:pPr>
            <w:r w:rsidRPr="008B129E">
              <w:rPr>
                <w:sz w:val="22"/>
                <w:szCs w:val="22"/>
              </w:rPr>
              <w:t xml:space="preserve">     Di cui Donne</w:t>
            </w:r>
          </w:p>
        </w:tc>
        <w:tc>
          <w:tcPr>
            <w:tcW w:w="2448" w:type="dxa"/>
            <w:tcBorders>
              <w:top w:val="single" w:sz="1" w:space="0" w:color="000000"/>
              <w:left w:val="single" w:sz="1" w:space="0" w:color="000000"/>
              <w:bottom w:val="single" w:sz="1" w:space="0" w:color="000000"/>
              <w:right w:val="single" w:sz="1" w:space="0" w:color="000000"/>
            </w:tcBorders>
          </w:tcPr>
          <w:p w14:paraId="4B115F47" w14:textId="77777777" w:rsidR="000F5C52" w:rsidRPr="008B129E" w:rsidRDefault="000F5C52" w:rsidP="00AF6439">
            <w:pPr>
              <w:pStyle w:val="Contenutotabella"/>
              <w:rPr>
                <w:sz w:val="22"/>
                <w:szCs w:val="22"/>
              </w:rPr>
            </w:pPr>
            <w:r w:rsidRPr="008B129E">
              <w:rPr>
                <w:sz w:val="22"/>
                <w:szCs w:val="22"/>
              </w:rPr>
              <w:t xml:space="preserve"> Di cui Uomini</w:t>
            </w:r>
          </w:p>
        </w:tc>
      </w:tr>
      <w:tr w:rsidR="000F5C52" w:rsidRPr="008B129E" w14:paraId="18C34036" w14:textId="77777777" w:rsidTr="00AF6439">
        <w:trPr>
          <w:jc w:val="center"/>
        </w:trPr>
        <w:tc>
          <w:tcPr>
            <w:tcW w:w="2260" w:type="dxa"/>
            <w:tcBorders>
              <w:left w:val="single" w:sz="1" w:space="0" w:color="000000"/>
              <w:bottom w:val="single" w:sz="1" w:space="0" w:color="000000"/>
            </w:tcBorders>
          </w:tcPr>
          <w:p w14:paraId="145E1463" w14:textId="77777777" w:rsidR="000F5C52" w:rsidRPr="008B129E" w:rsidRDefault="000F5C52" w:rsidP="00AF6439">
            <w:pPr>
              <w:pStyle w:val="Contenutotabella"/>
              <w:rPr>
                <w:b/>
                <w:bCs/>
                <w:sz w:val="22"/>
                <w:szCs w:val="22"/>
              </w:rPr>
            </w:pPr>
            <w:r w:rsidRPr="008B129E">
              <w:rPr>
                <w:sz w:val="22"/>
                <w:szCs w:val="22"/>
              </w:rPr>
              <w:t xml:space="preserve">   D – Funzionari</w:t>
            </w:r>
          </w:p>
        </w:tc>
        <w:tc>
          <w:tcPr>
            <w:tcW w:w="2260" w:type="dxa"/>
            <w:tcBorders>
              <w:left w:val="single" w:sz="1" w:space="0" w:color="000000"/>
              <w:bottom w:val="single" w:sz="1" w:space="0" w:color="000000"/>
            </w:tcBorders>
          </w:tcPr>
          <w:p w14:paraId="7840E2B8" w14:textId="77777777" w:rsidR="000F5C52" w:rsidRPr="008B129E" w:rsidRDefault="000F5C52" w:rsidP="00AF6439">
            <w:pPr>
              <w:pStyle w:val="Contenutotabella"/>
              <w:snapToGrid w:val="0"/>
              <w:jc w:val="center"/>
              <w:rPr>
                <w:b/>
                <w:bCs/>
                <w:sz w:val="22"/>
                <w:szCs w:val="22"/>
              </w:rPr>
            </w:pPr>
            <w:r w:rsidRPr="008B129E">
              <w:rPr>
                <w:b/>
                <w:bCs/>
                <w:sz w:val="22"/>
                <w:szCs w:val="22"/>
              </w:rPr>
              <w:t>14</w:t>
            </w:r>
          </w:p>
        </w:tc>
        <w:tc>
          <w:tcPr>
            <w:tcW w:w="2260" w:type="dxa"/>
            <w:tcBorders>
              <w:left w:val="single" w:sz="1" w:space="0" w:color="000000"/>
              <w:bottom w:val="single" w:sz="1" w:space="0" w:color="000000"/>
            </w:tcBorders>
          </w:tcPr>
          <w:p w14:paraId="6C4694FE" w14:textId="77777777" w:rsidR="000F5C52" w:rsidRPr="008B129E" w:rsidRDefault="000F5C52" w:rsidP="00AF6439">
            <w:pPr>
              <w:pStyle w:val="Contenutotabella"/>
              <w:snapToGrid w:val="0"/>
              <w:jc w:val="center"/>
              <w:rPr>
                <w:b/>
                <w:bCs/>
                <w:sz w:val="22"/>
                <w:szCs w:val="22"/>
              </w:rPr>
            </w:pPr>
            <w:r w:rsidRPr="008B129E">
              <w:rPr>
                <w:b/>
                <w:bCs/>
                <w:sz w:val="22"/>
                <w:szCs w:val="22"/>
              </w:rPr>
              <w:t>4</w:t>
            </w:r>
          </w:p>
        </w:tc>
        <w:tc>
          <w:tcPr>
            <w:tcW w:w="2448" w:type="dxa"/>
            <w:tcBorders>
              <w:left w:val="single" w:sz="1" w:space="0" w:color="000000"/>
              <w:bottom w:val="single" w:sz="1" w:space="0" w:color="000000"/>
              <w:right w:val="single" w:sz="1" w:space="0" w:color="000000"/>
            </w:tcBorders>
          </w:tcPr>
          <w:p w14:paraId="6ACEC0B1" w14:textId="77777777" w:rsidR="000F5C52" w:rsidRPr="008B129E" w:rsidRDefault="000F5C52" w:rsidP="00AF6439">
            <w:pPr>
              <w:pStyle w:val="Contenutotabella"/>
              <w:snapToGrid w:val="0"/>
              <w:jc w:val="center"/>
              <w:rPr>
                <w:b/>
                <w:bCs/>
                <w:sz w:val="22"/>
                <w:szCs w:val="22"/>
              </w:rPr>
            </w:pPr>
            <w:r w:rsidRPr="008B129E">
              <w:rPr>
                <w:b/>
                <w:bCs/>
                <w:sz w:val="22"/>
                <w:szCs w:val="22"/>
              </w:rPr>
              <w:t>10</w:t>
            </w:r>
          </w:p>
        </w:tc>
      </w:tr>
      <w:tr w:rsidR="000F5C52" w:rsidRPr="008B129E" w14:paraId="23ABD9A9" w14:textId="77777777" w:rsidTr="00AF6439">
        <w:trPr>
          <w:jc w:val="center"/>
        </w:trPr>
        <w:tc>
          <w:tcPr>
            <w:tcW w:w="2260" w:type="dxa"/>
            <w:tcBorders>
              <w:left w:val="single" w:sz="1" w:space="0" w:color="000000"/>
              <w:bottom w:val="single" w:sz="1" w:space="0" w:color="000000"/>
            </w:tcBorders>
          </w:tcPr>
          <w:p w14:paraId="15831F7A" w14:textId="77777777" w:rsidR="000F5C52" w:rsidRPr="008B129E" w:rsidRDefault="000F5C52" w:rsidP="00AF6439">
            <w:pPr>
              <w:pStyle w:val="Contenutotabella"/>
              <w:rPr>
                <w:b/>
                <w:bCs/>
                <w:sz w:val="22"/>
                <w:szCs w:val="22"/>
              </w:rPr>
            </w:pPr>
            <w:r w:rsidRPr="008B129E">
              <w:rPr>
                <w:sz w:val="22"/>
                <w:szCs w:val="22"/>
              </w:rPr>
              <w:t xml:space="preserve">   C – Istruttori </w:t>
            </w:r>
          </w:p>
        </w:tc>
        <w:tc>
          <w:tcPr>
            <w:tcW w:w="2260" w:type="dxa"/>
            <w:tcBorders>
              <w:left w:val="single" w:sz="1" w:space="0" w:color="000000"/>
              <w:bottom w:val="single" w:sz="1" w:space="0" w:color="000000"/>
            </w:tcBorders>
          </w:tcPr>
          <w:p w14:paraId="625B4636" w14:textId="77777777" w:rsidR="000F5C52" w:rsidRPr="008B129E" w:rsidRDefault="000F5C52" w:rsidP="00AF6439">
            <w:pPr>
              <w:pStyle w:val="Contenutotabella"/>
              <w:snapToGrid w:val="0"/>
              <w:jc w:val="center"/>
              <w:rPr>
                <w:b/>
                <w:bCs/>
                <w:sz w:val="22"/>
                <w:szCs w:val="22"/>
              </w:rPr>
            </w:pPr>
            <w:r w:rsidRPr="008B129E">
              <w:rPr>
                <w:b/>
                <w:bCs/>
                <w:sz w:val="22"/>
                <w:szCs w:val="22"/>
              </w:rPr>
              <w:t>21</w:t>
            </w:r>
          </w:p>
        </w:tc>
        <w:tc>
          <w:tcPr>
            <w:tcW w:w="2260" w:type="dxa"/>
            <w:tcBorders>
              <w:left w:val="single" w:sz="1" w:space="0" w:color="000000"/>
              <w:bottom w:val="single" w:sz="1" w:space="0" w:color="000000"/>
            </w:tcBorders>
          </w:tcPr>
          <w:p w14:paraId="62A17CFA" w14:textId="77777777" w:rsidR="000F5C52" w:rsidRPr="008B129E" w:rsidRDefault="000F5C52" w:rsidP="00AF6439">
            <w:pPr>
              <w:pStyle w:val="Contenutotabella"/>
              <w:snapToGrid w:val="0"/>
              <w:jc w:val="center"/>
              <w:rPr>
                <w:b/>
                <w:bCs/>
                <w:sz w:val="22"/>
                <w:szCs w:val="22"/>
              </w:rPr>
            </w:pPr>
            <w:r w:rsidRPr="008B129E">
              <w:rPr>
                <w:b/>
                <w:bCs/>
                <w:sz w:val="22"/>
                <w:szCs w:val="22"/>
              </w:rPr>
              <w:t>8</w:t>
            </w:r>
          </w:p>
        </w:tc>
        <w:tc>
          <w:tcPr>
            <w:tcW w:w="2448" w:type="dxa"/>
            <w:tcBorders>
              <w:left w:val="single" w:sz="1" w:space="0" w:color="000000"/>
              <w:bottom w:val="single" w:sz="1" w:space="0" w:color="000000"/>
              <w:right w:val="single" w:sz="1" w:space="0" w:color="000000"/>
            </w:tcBorders>
          </w:tcPr>
          <w:p w14:paraId="68446A38" w14:textId="77777777" w:rsidR="000F5C52" w:rsidRPr="008B129E" w:rsidRDefault="000F5C52" w:rsidP="00AF6439">
            <w:pPr>
              <w:pStyle w:val="Contenutotabella"/>
              <w:snapToGrid w:val="0"/>
              <w:jc w:val="center"/>
              <w:rPr>
                <w:b/>
                <w:bCs/>
                <w:sz w:val="22"/>
                <w:szCs w:val="22"/>
              </w:rPr>
            </w:pPr>
            <w:r w:rsidRPr="008B129E">
              <w:rPr>
                <w:b/>
                <w:bCs/>
                <w:sz w:val="22"/>
                <w:szCs w:val="22"/>
              </w:rPr>
              <w:t>13</w:t>
            </w:r>
          </w:p>
        </w:tc>
      </w:tr>
      <w:tr w:rsidR="000F5C52" w:rsidRPr="008B129E" w14:paraId="3B4240B5" w14:textId="77777777" w:rsidTr="00AF6439">
        <w:trPr>
          <w:jc w:val="center"/>
        </w:trPr>
        <w:tc>
          <w:tcPr>
            <w:tcW w:w="2260" w:type="dxa"/>
            <w:tcBorders>
              <w:left w:val="single" w:sz="1" w:space="0" w:color="000000"/>
              <w:bottom w:val="single" w:sz="1" w:space="0" w:color="000000"/>
            </w:tcBorders>
          </w:tcPr>
          <w:p w14:paraId="12C9F0C7" w14:textId="77777777" w:rsidR="000F5C52" w:rsidRPr="008B129E" w:rsidRDefault="000F5C52" w:rsidP="00AF6439">
            <w:pPr>
              <w:pStyle w:val="Contenutotabella"/>
              <w:rPr>
                <w:b/>
                <w:bCs/>
                <w:sz w:val="22"/>
                <w:szCs w:val="22"/>
              </w:rPr>
            </w:pPr>
            <w:r w:rsidRPr="008B129E">
              <w:rPr>
                <w:sz w:val="22"/>
                <w:szCs w:val="22"/>
              </w:rPr>
              <w:t xml:space="preserve">   B – Operatori esperti</w:t>
            </w:r>
          </w:p>
        </w:tc>
        <w:tc>
          <w:tcPr>
            <w:tcW w:w="2260" w:type="dxa"/>
            <w:tcBorders>
              <w:left w:val="single" w:sz="1" w:space="0" w:color="000000"/>
              <w:bottom w:val="single" w:sz="1" w:space="0" w:color="000000"/>
            </w:tcBorders>
          </w:tcPr>
          <w:p w14:paraId="6826C799" w14:textId="77777777" w:rsidR="000F5C52" w:rsidRPr="008B129E" w:rsidRDefault="000F5C52" w:rsidP="00AF6439">
            <w:pPr>
              <w:pStyle w:val="Contenutotabella"/>
              <w:snapToGrid w:val="0"/>
              <w:jc w:val="center"/>
              <w:rPr>
                <w:b/>
                <w:bCs/>
                <w:sz w:val="22"/>
                <w:szCs w:val="22"/>
              </w:rPr>
            </w:pPr>
            <w:r w:rsidRPr="008B129E">
              <w:rPr>
                <w:b/>
                <w:bCs/>
                <w:sz w:val="22"/>
                <w:szCs w:val="22"/>
              </w:rPr>
              <w:t>7</w:t>
            </w:r>
          </w:p>
        </w:tc>
        <w:tc>
          <w:tcPr>
            <w:tcW w:w="2260" w:type="dxa"/>
            <w:tcBorders>
              <w:left w:val="single" w:sz="1" w:space="0" w:color="000000"/>
              <w:bottom w:val="single" w:sz="1" w:space="0" w:color="000000"/>
            </w:tcBorders>
          </w:tcPr>
          <w:p w14:paraId="32C43976" w14:textId="77777777" w:rsidR="000F5C52" w:rsidRPr="008B129E" w:rsidRDefault="000F5C52" w:rsidP="00AF6439">
            <w:pPr>
              <w:pStyle w:val="Contenutotabella"/>
              <w:snapToGrid w:val="0"/>
              <w:jc w:val="center"/>
              <w:rPr>
                <w:b/>
                <w:bCs/>
                <w:sz w:val="22"/>
                <w:szCs w:val="22"/>
              </w:rPr>
            </w:pPr>
            <w:r w:rsidRPr="008B129E">
              <w:rPr>
                <w:b/>
                <w:bCs/>
                <w:sz w:val="22"/>
                <w:szCs w:val="22"/>
              </w:rPr>
              <w:t>5</w:t>
            </w:r>
          </w:p>
        </w:tc>
        <w:tc>
          <w:tcPr>
            <w:tcW w:w="2448" w:type="dxa"/>
            <w:tcBorders>
              <w:left w:val="single" w:sz="1" w:space="0" w:color="000000"/>
              <w:bottom w:val="single" w:sz="1" w:space="0" w:color="000000"/>
              <w:right w:val="single" w:sz="1" w:space="0" w:color="000000"/>
            </w:tcBorders>
          </w:tcPr>
          <w:p w14:paraId="2CDD2787" w14:textId="77777777" w:rsidR="000F5C52" w:rsidRPr="008B129E" w:rsidRDefault="000F5C52" w:rsidP="00AF6439">
            <w:pPr>
              <w:pStyle w:val="Contenutotabella"/>
              <w:snapToGrid w:val="0"/>
              <w:jc w:val="center"/>
              <w:rPr>
                <w:b/>
                <w:bCs/>
                <w:sz w:val="22"/>
                <w:szCs w:val="22"/>
              </w:rPr>
            </w:pPr>
            <w:r w:rsidRPr="008B129E">
              <w:rPr>
                <w:b/>
                <w:bCs/>
                <w:sz w:val="22"/>
                <w:szCs w:val="22"/>
              </w:rPr>
              <w:t>2</w:t>
            </w:r>
          </w:p>
        </w:tc>
      </w:tr>
      <w:tr w:rsidR="000F5C52" w:rsidRPr="008B129E" w14:paraId="4A9BF134" w14:textId="77777777" w:rsidTr="00AF6439">
        <w:trPr>
          <w:jc w:val="center"/>
        </w:trPr>
        <w:tc>
          <w:tcPr>
            <w:tcW w:w="2260" w:type="dxa"/>
            <w:tcBorders>
              <w:left w:val="single" w:sz="1" w:space="0" w:color="000000"/>
              <w:bottom w:val="single" w:sz="1" w:space="0" w:color="000000"/>
            </w:tcBorders>
          </w:tcPr>
          <w:p w14:paraId="77B93159" w14:textId="77777777" w:rsidR="000F5C52" w:rsidRPr="008B129E" w:rsidRDefault="000F5C52" w:rsidP="00AF6439">
            <w:pPr>
              <w:pStyle w:val="Contenutotabella"/>
              <w:rPr>
                <w:b/>
                <w:bCs/>
                <w:sz w:val="22"/>
                <w:szCs w:val="22"/>
              </w:rPr>
            </w:pPr>
            <w:r w:rsidRPr="008B129E">
              <w:rPr>
                <w:sz w:val="22"/>
                <w:szCs w:val="22"/>
              </w:rPr>
              <w:t xml:space="preserve">   A – Operatori </w:t>
            </w:r>
          </w:p>
        </w:tc>
        <w:tc>
          <w:tcPr>
            <w:tcW w:w="2260" w:type="dxa"/>
            <w:tcBorders>
              <w:left w:val="single" w:sz="1" w:space="0" w:color="000000"/>
              <w:bottom w:val="single" w:sz="1" w:space="0" w:color="000000"/>
            </w:tcBorders>
          </w:tcPr>
          <w:p w14:paraId="16A71C1F" w14:textId="77777777" w:rsidR="000F5C52" w:rsidRPr="008B129E" w:rsidRDefault="000F5C52" w:rsidP="00AF6439">
            <w:pPr>
              <w:pStyle w:val="Contenutotabella"/>
              <w:snapToGrid w:val="0"/>
              <w:jc w:val="center"/>
              <w:rPr>
                <w:sz w:val="22"/>
                <w:szCs w:val="22"/>
              </w:rPr>
            </w:pPr>
            <w:r w:rsidRPr="008B129E">
              <w:rPr>
                <w:sz w:val="22"/>
                <w:szCs w:val="22"/>
              </w:rPr>
              <w:t>-</w:t>
            </w:r>
          </w:p>
        </w:tc>
        <w:tc>
          <w:tcPr>
            <w:tcW w:w="2260" w:type="dxa"/>
            <w:tcBorders>
              <w:left w:val="single" w:sz="1" w:space="0" w:color="000000"/>
              <w:bottom w:val="single" w:sz="1" w:space="0" w:color="000000"/>
            </w:tcBorders>
          </w:tcPr>
          <w:p w14:paraId="23EE7D3F" w14:textId="77777777" w:rsidR="000F5C52" w:rsidRPr="008B129E" w:rsidRDefault="000F5C52" w:rsidP="00AF6439">
            <w:pPr>
              <w:pStyle w:val="Contenutotabella"/>
              <w:snapToGrid w:val="0"/>
              <w:jc w:val="center"/>
              <w:rPr>
                <w:sz w:val="22"/>
                <w:szCs w:val="22"/>
              </w:rPr>
            </w:pPr>
            <w:r w:rsidRPr="008B129E">
              <w:rPr>
                <w:sz w:val="22"/>
                <w:szCs w:val="22"/>
              </w:rPr>
              <w:t>-</w:t>
            </w:r>
          </w:p>
        </w:tc>
        <w:tc>
          <w:tcPr>
            <w:tcW w:w="2448" w:type="dxa"/>
            <w:tcBorders>
              <w:left w:val="single" w:sz="1" w:space="0" w:color="000000"/>
              <w:bottom w:val="single" w:sz="1" w:space="0" w:color="000000"/>
              <w:right w:val="single" w:sz="1" w:space="0" w:color="000000"/>
            </w:tcBorders>
          </w:tcPr>
          <w:p w14:paraId="0F47A545" w14:textId="77777777" w:rsidR="000F5C52" w:rsidRPr="008B129E" w:rsidRDefault="000F5C52" w:rsidP="00AF6439">
            <w:pPr>
              <w:pStyle w:val="Contenutotabella"/>
              <w:snapToGrid w:val="0"/>
              <w:jc w:val="center"/>
              <w:rPr>
                <w:sz w:val="22"/>
                <w:szCs w:val="22"/>
              </w:rPr>
            </w:pPr>
            <w:r w:rsidRPr="008B129E">
              <w:rPr>
                <w:sz w:val="22"/>
                <w:szCs w:val="22"/>
              </w:rPr>
              <w:t>-</w:t>
            </w:r>
          </w:p>
        </w:tc>
      </w:tr>
    </w:tbl>
    <w:p w14:paraId="5B812703" w14:textId="77777777" w:rsidR="000F5C52" w:rsidRPr="008B129E" w:rsidRDefault="000F5C52" w:rsidP="000F5C52">
      <w:pPr>
        <w:jc w:val="both"/>
        <w:rPr>
          <w:rFonts w:ascii="Times New Roman" w:hAnsi="Times New Roman"/>
          <w:sz w:val="22"/>
          <w:szCs w:val="22"/>
        </w:rPr>
      </w:pPr>
    </w:p>
    <w:p w14:paraId="04C2971A" w14:textId="28061A7C" w:rsidR="000F5C52" w:rsidRPr="008B129E" w:rsidRDefault="000F5C52" w:rsidP="000F5C52">
      <w:pPr>
        <w:jc w:val="both"/>
        <w:rPr>
          <w:rFonts w:ascii="Times New Roman" w:hAnsi="Times New Roman"/>
          <w:sz w:val="22"/>
          <w:szCs w:val="22"/>
          <w:u w:val="single"/>
        </w:rPr>
      </w:pPr>
      <w:r w:rsidRPr="008B129E">
        <w:rPr>
          <w:rFonts w:ascii="Times New Roman" w:hAnsi="Times New Roman"/>
          <w:sz w:val="22"/>
          <w:szCs w:val="22"/>
        </w:rPr>
        <w:t xml:space="preserve">Il totale del personale dipendente con contratto di lavoro a tempo indeterminato alla data del 31/12/2024 del Comune di San Gregorio di Catania è di n. </w:t>
      </w:r>
      <w:r w:rsidR="008E416A" w:rsidRPr="008B129E">
        <w:rPr>
          <w:rFonts w:ascii="Times New Roman" w:hAnsi="Times New Roman"/>
          <w:sz w:val="22"/>
          <w:szCs w:val="22"/>
        </w:rPr>
        <w:t>42</w:t>
      </w:r>
      <w:r w:rsidRPr="008B129E">
        <w:rPr>
          <w:rFonts w:ascii="Times New Roman" w:hAnsi="Times New Roman"/>
          <w:sz w:val="22"/>
          <w:szCs w:val="22"/>
        </w:rPr>
        <w:t>+1 (Segretario Generale).</w:t>
      </w:r>
    </w:p>
    <w:p w14:paraId="382B8156" w14:textId="77777777" w:rsidR="000F5C52" w:rsidRPr="008B129E" w:rsidRDefault="000F5C52" w:rsidP="000F5C52">
      <w:pPr>
        <w:jc w:val="both"/>
        <w:rPr>
          <w:rFonts w:ascii="Times New Roman" w:hAnsi="Times New Roman"/>
          <w:sz w:val="22"/>
          <w:szCs w:val="22"/>
          <w:u w:val="single"/>
        </w:rPr>
      </w:pPr>
    </w:p>
    <w:p w14:paraId="2D687D6C" w14:textId="77777777" w:rsidR="000F5C52" w:rsidRPr="008B129E" w:rsidRDefault="000F5C52" w:rsidP="000F5C52">
      <w:pPr>
        <w:jc w:val="both"/>
        <w:rPr>
          <w:rFonts w:ascii="Times New Roman" w:hAnsi="Times New Roman"/>
          <w:sz w:val="22"/>
          <w:szCs w:val="22"/>
          <w:u w:val="single"/>
        </w:rPr>
      </w:pPr>
    </w:p>
    <w:p w14:paraId="1CA05EBF" w14:textId="77777777" w:rsidR="000F5C52" w:rsidRPr="008B129E" w:rsidRDefault="000F5C52" w:rsidP="000F5C52">
      <w:pPr>
        <w:jc w:val="both"/>
        <w:rPr>
          <w:rFonts w:ascii="Times New Roman" w:hAnsi="Times New Roman"/>
          <w:sz w:val="22"/>
          <w:szCs w:val="22"/>
          <w:u w:val="single"/>
        </w:rPr>
      </w:pPr>
      <w:r w:rsidRPr="008B129E">
        <w:rPr>
          <w:rFonts w:ascii="Times New Roman" w:hAnsi="Times New Roman"/>
          <w:sz w:val="22"/>
          <w:szCs w:val="22"/>
          <w:u w:val="single"/>
        </w:rPr>
        <w:t>Schema monitoraggio disaggregato per genere della composizione del personale:</w:t>
      </w:r>
    </w:p>
    <w:p w14:paraId="4F5F75F1" w14:textId="77777777" w:rsidR="000F5C52" w:rsidRPr="008B129E" w:rsidRDefault="000F5C52" w:rsidP="000F5C52">
      <w:pPr>
        <w:jc w:val="both"/>
        <w:rPr>
          <w:rFonts w:ascii="Times New Roman" w:hAnsi="Times New Roman"/>
          <w:sz w:val="22"/>
          <w:szCs w:val="22"/>
          <w:u w:val="single"/>
        </w:rPr>
      </w:pPr>
    </w:p>
    <w:tbl>
      <w:tblPr>
        <w:tblW w:w="9178" w:type="dxa"/>
        <w:jc w:val="center"/>
        <w:tblLayout w:type="fixed"/>
        <w:tblCellMar>
          <w:top w:w="55" w:type="dxa"/>
          <w:left w:w="55" w:type="dxa"/>
          <w:bottom w:w="55" w:type="dxa"/>
          <w:right w:w="55" w:type="dxa"/>
        </w:tblCellMar>
        <w:tblLook w:val="0000" w:firstRow="0" w:lastRow="0" w:firstColumn="0" w:lastColumn="0" w:noHBand="0" w:noVBand="0"/>
      </w:tblPr>
      <w:tblGrid>
        <w:gridCol w:w="2206"/>
        <w:gridCol w:w="2259"/>
        <w:gridCol w:w="2259"/>
        <w:gridCol w:w="2454"/>
      </w:tblGrid>
      <w:tr w:rsidR="000F5C52" w:rsidRPr="008B129E" w14:paraId="3122F441" w14:textId="77777777" w:rsidTr="00AF6439">
        <w:trPr>
          <w:jc w:val="center"/>
        </w:trPr>
        <w:tc>
          <w:tcPr>
            <w:tcW w:w="2206" w:type="dxa"/>
            <w:tcBorders>
              <w:top w:val="single" w:sz="1" w:space="0" w:color="000000"/>
              <w:left w:val="single" w:sz="1" w:space="0" w:color="000000"/>
              <w:bottom w:val="single" w:sz="1" w:space="0" w:color="000000"/>
            </w:tcBorders>
          </w:tcPr>
          <w:p w14:paraId="1C3C6D01" w14:textId="77777777" w:rsidR="000F5C52" w:rsidRPr="008B129E" w:rsidRDefault="000F5C52" w:rsidP="00AF6439">
            <w:pPr>
              <w:pStyle w:val="Contenutotabella"/>
              <w:rPr>
                <w:b/>
                <w:bCs/>
                <w:sz w:val="22"/>
                <w:szCs w:val="22"/>
              </w:rPr>
            </w:pPr>
            <w:r w:rsidRPr="008B129E">
              <w:rPr>
                <w:b/>
                <w:bCs/>
                <w:sz w:val="22"/>
                <w:szCs w:val="22"/>
              </w:rPr>
              <w:t>Funzionari - EQ</w:t>
            </w:r>
          </w:p>
        </w:tc>
        <w:tc>
          <w:tcPr>
            <w:tcW w:w="2259" w:type="dxa"/>
            <w:tcBorders>
              <w:top w:val="single" w:sz="1" w:space="0" w:color="000000"/>
              <w:left w:val="single" w:sz="1" w:space="0" w:color="000000"/>
              <w:bottom w:val="single" w:sz="1" w:space="0" w:color="000000"/>
            </w:tcBorders>
          </w:tcPr>
          <w:p w14:paraId="552E79A8" w14:textId="77777777" w:rsidR="000F5C52" w:rsidRPr="008B129E" w:rsidRDefault="000F5C52" w:rsidP="00AF6439">
            <w:pPr>
              <w:pStyle w:val="Contenutotabella"/>
              <w:rPr>
                <w:b/>
                <w:bCs/>
                <w:sz w:val="22"/>
                <w:szCs w:val="22"/>
              </w:rPr>
            </w:pPr>
            <w:r w:rsidRPr="008B129E">
              <w:rPr>
                <w:b/>
                <w:bCs/>
                <w:sz w:val="22"/>
                <w:szCs w:val="22"/>
              </w:rPr>
              <w:t>Donne</w:t>
            </w:r>
          </w:p>
        </w:tc>
        <w:tc>
          <w:tcPr>
            <w:tcW w:w="2259" w:type="dxa"/>
            <w:tcBorders>
              <w:top w:val="single" w:sz="1" w:space="0" w:color="000000"/>
              <w:left w:val="single" w:sz="1" w:space="0" w:color="000000"/>
              <w:bottom w:val="single" w:sz="1" w:space="0" w:color="000000"/>
            </w:tcBorders>
          </w:tcPr>
          <w:p w14:paraId="72FE0802" w14:textId="77777777" w:rsidR="000F5C52" w:rsidRPr="008B129E" w:rsidRDefault="000F5C52" w:rsidP="00AF6439">
            <w:pPr>
              <w:pStyle w:val="Contenutotabella"/>
              <w:rPr>
                <w:b/>
                <w:bCs/>
                <w:sz w:val="22"/>
                <w:szCs w:val="22"/>
              </w:rPr>
            </w:pPr>
            <w:r w:rsidRPr="008B129E">
              <w:rPr>
                <w:b/>
                <w:bCs/>
                <w:sz w:val="22"/>
                <w:szCs w:val="22"/>
              </w:rPr>
              <w:t>Uomini</w:t>
            </w:r>
          </w:p>
        </w:tc>
        <w:tc>
          <w:tcPr>
            <w:tcW w:w="2454" w:type="dxa"/>
            <w:tcBorders>
              <w:top w:val="single" w:sz="1" w:space="0" w:color="000000"/>
              <w:left w:val="single" w:sz="1" w:space="0" w:color="000000"/>
              <w:bottom w:val="single" w:sz="1" w:space="0" w:color="000000"/>
              <w:right w:val="single" w:sz="1" w:space="0" w:color="000000"/>
            </w:tcBorders>
          </w:tcPr>
          <w:p w14:paraId="168616BC" w14:textId="77777777" w:rsidR="000F5C52" w:rsidRPr="008B129E" w:rsidRDefault="000F5C52" w:rsidP="00AF6439">
            <w:pPr>
              <w:pStyle w:val="Contenutotabella"/>
              <w:rPr>
                <w:sz w:val="22"/>
                <w:szCs w:val="22"/>
              </w:rPr>
            </w:pPr>
            <w:r w:rsidRPr="008B129E">
              <w:rPr>
                <w:b/>
                <w:bCs/>
                <w:sz w:val="22"/>
                <w:szCs w:val="22"/>
              </w:rPr>
              <w:t>totale</w:t>
            </w:r>
          </w:p>
        </w:tc>
      </w:tr>
      <w:tr w:rsidR="000F5C52" w:rsidRPr="008B129E" w14:paraId="4FEB1551" w14:textId="77777777" w:rsidTr="00AF6439">
        <w:trPr>
          <w:jc w:val="center"/>
        </w:trPr>
        <w:tc>
          <w:tcPr>
            <w:tcW w:w="2206" w:type="dxa"/>
            <w:tcBorders>
              <w:left w:val="single" w:sz="1" w:space="0" w:color="000000"/>
              <w:bottom w:val="single" w:sz="1" w:space="0" w:color="000000"/>
            </w:tcBorders>
          </w:tcPr>
          <w:p w14:paraId="25011FCE" w14:textId="77777777" w:rsidR="000F5C52" w:rsidRPr="008B129E" w:rsidRDefault="000F5C52" w:rsidP="00AF6439">
            <w:pPr>
              <w:pStyle w:val="Contenutotabella"/>
              <w:rPr>
                <w:b/>
                <w:bCs/>
                <w:sz w:val="22"/>
                <w:szCs w:val="22"/>
              </w:rPr>
            </w:pPr>
            <w:r w:rsidRPr="008B129E">
              <w:rPr>
                <w:sz w:val="22"/>
                <w:szCs w:val="22"/>
              </w:rPr>
              <w:t>Dipendenti indeterminato</w:t>
            </w:r>
          </w:p>
        </w:tc>
        <w:tc>
          <w:tcPr>
            <w:tcW w:w="2259" w:type="dxa"/>
            <w:tcBorders>
              <w:left w:val="single" w:sz="1" w:space="0" w:color="000000"/>
              <w:bottom w:val="single" w:sz="1" w:space="0" w:color="000000"/>
            </w:tcBorders>
          </w:tcPr>
          <w:p w14:paraId="372DF289" w14:textId="77777777" w:rsidR="000F5C52" w:rsidRPr="008B129E" w:rsidRDefault="000F5C52" w:rsidP="00AF6439">
            <w:pPr>
              <w:pStyle w:val="Contenutotabella"/>
              <w:snapToGrid w:val="0"/>
              <w:jc w:val="center"/>
              <w:rPr>
                <w:b/>
                <w:bCs/>
                <w:sz w:val="22"/>
                <w:szCs w:val="22"/>
              </w:rPr>
            </w:pPr>
            <w:r w:rsidRPr="008B129E">
              <w:rPr>
                <w:b/>
                <w:bCs/>
                <w:sz w:val="22"/>
                <w:szCs w:val="22"/>
              </w:rPr>
              <w:t>3</w:t>
            </w:r>
          </w:p>
        </w:tc>
        <w:tc>
          <w:tcPr>
            <w:tcW w:w="2259" w:type="dxa"/>
            <w:tcBorders>
              <w:left w:val="single" w:sz="1" w:space="0" w:color="000000"/>
              <w:bottom w:val="single" w:sz="1" w:space="0" w:color="000000"/>
            </w:tcBorders>
          </w:tcPr>
          <w:p w14:paraId="78BE3D4B" w14:textId="77777777" w:rsidR="000F5C52" w:rsidRPr="008B129E" w:rsidRDefault="000F5C52" w:rsidP="00AF6439">
            <w:pPr>
              <w:pStyle w:val="Contenutotabella"/>
              <w:snapToGrid w:val="0"/>
              <w:jc w:val="center"/>
              <w:rPr>
                <w:b/>
                <w:bCs/>
                <w:sz w:val="22"/>
                <w:szCs w:val="22"/>
              </w:rPr>
            </w:pPr>
            <w:r w:rsidRPr="008B129E">
              <w:rPr>
                <w:b/>
                <w:bCs/>
                <w:sz w:val="22"/>
                <w:szCs w:val="22"/>
              </w:rPr>
              <w:t>7</w:t>
            </w:r>
          </w:p>
        </w:tc>
        <w:tc>
          <w:tcPr>
            <w:tcW w:w="2454" w:type="dxa"/>
            <w:tcBorders>
              <w:left w:val="single" w:sz="1" w:space="0" w:color="000000"/>
              <w:bottom w:val="single" w:sz="1" w:space="0" w:color="000000"/>
              <w:right w:val="single" w:sz="1" w:space="0" w:color="000000"/>
            </w:tcBorders>
          </w:tcPr>
          <w:p w14:paraId="35426A0C" w14:textId="77777777" w:rsidR="000F5C52" w:rsidRPr="008B129E" w:rsidRDefault="000F5C52" w:rsidP="00AF6439">
            <w:pPr>
              <w:pStyle w:val="Contenutotabella"/>
              <w:snapToGrid w:val="0"/>
              <w:jc w:val="center"/>
              <w:rPr>
                <w:b/>
                <w:bCs/>
                <w:sz w:val="22"/>
                <w:szCs w:val="22"/>
              </w:rPr>
            </w:pPr>
            <w:r w:rsidRPr="008B129E">
              <w:rPr>
                <w:b/>
                <w:bCs/>
                <w:sz w:val="22"/>
                <w:szCs w:val="22"/>
              </w:rPr>
              <w:t>10</w:t>
            </w:r>
          </w:p>
        </w:tc>
      </w:tr>
      <w:tr w:rsidR="000F5C52" w:rsidRPr="008B129E" w14:paraId="0C95C3CD" w14:textId="77777777" w:rsidTr="00AF6439">
        <w:trPr>
          <w:jc w:val="center"/>
        </w:trPr>
        <w:tc>
          <w:tcPr>
            <w:tcW w:w="2206" w:type="dxa"/>
            <w:tcBorders>
              <w:left w:val="single" w:sz="1" w:space="0" w:color="000000"/>
              <w:bottom w:val="single" w:sz="1" w:space="0" w:color="000000"/>
            </w:tcBorders>
          </w:tcPr>
          <w:p w14:paraId="089D9ECB" w14:textId="77777777" w:rsidR="000F5C52" w:rsidRPr="008B129E" w:rsidRDefault="000F5C52" w:rsidP="00AF6439">
            <w:pPr>
              <w:pStyle w:val="Contenutotabella"/>
              <w:rPr>
                <w:b/>
                <w:bCs/>
                <w:sz w:val="22"/>
                <w:szCs w:val="22"/>
              </w:rPr>
            </w:pPr>
            <w:r w:rsidRPr="008B129E">
              <w:rPr>
                <w:sz w:val="22"/>
                <w:szCs w:val="22"/>
              </w:rPr>
              <w:lastRenderedPageBreak/>
              <w:t>Dipendenti tempo determinato</w:t>
            </w:r>
          </w:p>
        </w:tc>
        <w:tc>
          <w:tcPr>
            <w:tcW w:w="2259" w:type="dxa"/>
            <w:tcBorders>
              <w:left w:val="single" w:sz="1" w:space="0" w:color="000000"/>
              <w:bottom w:val="single" w:sz="1" w:space="0" w:color="000000"/>
            </w:tcBorders>
            <w:vAlign w:val="center"/>
          </w:tcPr>
          <w:p w14:paraId="21E18779" w14:textId="77777777" w:rsidR="000F5C52" w:rsidRPr="008B129E" w:rsidRDefault="000F5C52" w:rsidP="00AF6439">
            <w:pPr>
              <w:pStyle w:val="Contenutotabella"/>
              <w:snapToGrid w:val="0"/>
              <w:jc w:val="center"/>
              <w:rPr>
                <w:b/>
                <w:bCs/>
                <w:sz w:val="22"/>
                <w:szCs w:val="22"/>
              </w:rPr>
            </w:pPr>
            <w:r w:rsidRPr="008B129E">
              <w:rPr>
                <w:b/>
                <w:bCs/>
                <w:sz w:val="22"/>
                <w:szCs w:val="22"/>
              </w:rPr>
              <w:t>1</w:t>
            </w:r>
          </w:p>
        </w:tc>
        <w:tc>
          <w:tcPr>
            <w:tcW w:w="2259" w:type="dxa"/>
            <w:tcBorders>
              <w:left w:val="single" w:sz="1" w:space="0" w:color="000000"/>
              <w:bottom w:val="single" w:sz="1" w:space="0" w:color="000000"/>
            </w:tcBorders>
            <w:vAlign w:val="center"/>
          </w:tcPr>
          <w:p w14:paraId="6416E97F" w14:textId="77777777" w:rsidR="000F5C52" w:rsidRPr="008B129E" w:rsidRDefault="000F5C52" w:rsidP="00AF6439">
            <w:pPr>
              <w:pStyle w:val="Contenutotabella"/>
              <w:snapToGrid w:val="0"/>
              <w:jc w:val="center"/>
              <w:rPr>
                <w:b/>
                <w:bCs/>
                <w:sz w:val="22"/>
                <w:szCs w:val="22"/>
              </w:rPr>
            </w:pPr>
            <w:r w:rsidRPr="008B129E">
              <w:rPr>
                <w:b/>
                <w:bCs/>
                <w:sz w:val="22"/>
                <w:szCs w:val="22"/>
              </w:rPr>
              <w:t>3</w:t>
            </w:r>
          </w:p>
        </w:tc>
        <w:tc>
          <w:tcPr>
            <w:tcW w:w="2454" w:type="dxa"/>
            <w:tcBorders>
              <w:left w:val="single" w:sz="1" w:space="0" w:color="000000"/>
              <w:bottom w:val="single" w:sz="1" w:space="0" w:color="000000"/>
              <w:right w:val="single" w:sz="1" w:space="0" w:color="000000"/>
            </w:tcBorders>
            <w:vAlign w:val="center"/>
          </w:tcPr>
          <w:p w14:paraId="5E08A459" w14:textId="77777777" w:rsidR="000F5C52" w:rsidRPr="008B129E" w:rsidRDefault="000F5C52" w:rsidP="00AF6439">
            <w:pPr>
              <w:pStyle w:val="Contenutotabella"/>
              <w:snapToGrid w:val="0"/>
              <w:jc w:val="center"/>
              <w:rPr>
                <w:b/>
                <w:bCs/>
                <w:sz w:val="22"/>
                <w:szCs w:val="22"/>
              </w:rPr>
            </w:pPr>
            <w:r w:rsidRPr="008B129E">
              <w:rPr>
                <w:b/>
                <w:bCs/>
                <w:sz w:val="22"/>
                <w:szCs w:val="22"/>
              </w:rPr>
              <w:t>4</w:t>
            </w:r>
          </w:p>
        </w:tc>
      </w:tr>
      <w:tr w:rsidR="000F5C52" w:rsidRPr="008B129E" w14:paraId="17FB9336" w14:textId="77777777" w:rsidTr="00AF6439">
        <w:trPr>
          <w:jc w:val="center"/>
        </w:trPr>
        <w:tc>
          <w:tcPr>
            <w:tcW w:w="2206" w:type="dxa"/>
            <w:tcBorders>
              <w:left w:val="single" w:sz="1" w:space="0" w:color="000000"/>
              <w:bottom w:val="single" w:sz="1" w:space="0" w:color="000000"/>
            </w:tcBorders>
          </w:tcPr>
          <w:p w14:paraId="68853E4D" w14:textId="77777777" w:rsidR="000F5C52" w:rsidRPr="008B129E" w:rsidRDefault="000F5C52" w:rsidP="00AF6439">
            <w:pPr>
              <w:pStyle w:val="Contenutotabella"/>
              <w:rPr>
                <w:b/>
                <w:bCs/>
                <w:sz w:val="22"/>
                <w:szCs w:val="22"/>
              </w:rPr>
            </w:pPr>
            <w:r w:rsidRPr="008B129E">
              <w:rPr>
                <w:b/>
                <w:bCs/>
                <w:sz w:val="22"/>
                <w:szCs w:val="22"/>
              </w:rPr>
              <w:t>Istruttori</w:t>
            </w:r>
          </w:p>
        </w:tc>
        <w:tc>
          <w:tcPr>
            <w:tcW w:w="2259" w:type="dxa"/>
            <w:tcBorders>
              <w:left w:val="single" w:sz="1" w:space="0" w:color="000000"/>
              <w:bottom w:val="single" w:sz="1" w:space="0" w:color="000000"/>
            </w:tcBorders>
          </w:tcPr>
          <w:p w14:paraId="5AB3FDF7" w14:textId="77777777" w:rsidR="000F5C52" w:rsidRPr="008B129E" w:rsidRDefault="000F5C52" w:rsidP="00AF6439">
            <w:pPr>
              <w:pStyle w:val="Contenutotabella"/>
              <w:rPr>
                <w:b/>
                <w:bCs/>
                <w:sz w:val="22"/>
                <w:szCs w:val="22"/>
              </w:rPr>
            </w:pPr>
            <w:r w:rsidRPr="008B129E">
              <w:rPr>
                <w:b/>
                <w:bCs/>
                <w:sz w:val="22"/>
                <w:szCs w:val="22"/>
              </w:rPr>
              <w:t>Donne</w:t>
            </w:r>
          </w:p>
        </w:tc>
        <w:tc>
          <w:tcPr>
            <w:tcW w:w="2259" w:type="dxa"/>
            <w:tcBorders>
              <w:left w:val="single" w:sz="1" w:space="0" w:color="000000"/>
              <w:bottom w:val="single" w:sz="1" w:space="0" w:color="000000"/>
            </w:tcBorders>
          </w:tcPr>
          <w:p w14:paraId="4622DF72" w14:textId="77777777" w:rsidR="000F5C52" w:rsidRPr="008B129E" w:rsidRDefault="000F5C52" w:rsidP="00AF6439">
            <w:pPr>
              <w:pStyle w:val="Contenutotabella"/>
              <w:rPr>
                <w:b/>
                <w:bCs/>
                <w:sz w:val="22"/>
                <w:szCs w:val="22"/>
              </w:rPr>
            </w:pPr>
            <w:r w:rsidRPr="008B129E">
              <w:rPr>
                <w:b/>
                <w:bCs/>
                <w:sz w:val="22"/>
                <w:szCs w:val="22"/>
              </w:rPr>
              <w:t>Uomini</w:t>
            </w:r>
          </w:p>
        </w:tc>
        <w:tc>
          <w:tcPr>
            <w:tcW w:w="2454" w:type="dxa"/>
            <w:tcBorders>
              <w:left w:val="single" w:sz="1" w:space="0" w:color="000000"/>
              <w:bottom w:val="single" w:sz="1" w:space="0" w:color="000000"/>
              <w:right w:val="single" w:sz="1" w:space="0" w:color="000000"/>
            </w:tcBorders>
          </w:tcPr>
          <w:p w14:paraId="42E2F5C6" w14:textId="77777777" w:rsidR="000F5C52" w:rsidRPr="008B129E" w:rsidRDefault="000F5C52" w:rsidP="00AF6439">
            <w:pPr>
              <w:pStyle w:val="Contenutotabella"/>
              <w:rPr>
                <w:sz w:val="22"/>
                <w:szCs w:val="22"/>
              </w:rPr>
            </w:pPr>
            <w:r w:rsidRPr="008B129E">
              <w:rPr>
                <w:b/>
                <w:bCs/>
                <w:sz w:val="22"/>
                <w:szCs w:val="22"/>
              </w:rPr>
              <w:t>totale</w:t>
            </w:r>
          </w:p>
        </w:tc>
      </w:tr>
      <w:tr w:rsidR="000F5C52" w:rsidRPr="008B129E" w14:paraId="5965C7DA" w14:textId="77777777" w:rsidTr="00AF6439">
        <w:trPr>
          <w:jc w:val="center"/>
        </w:trPr>
        <w:tc>
          <w:tcPr>
            <w:tcW w:w="2206" w:type="dxa"/>
            <w:tcBorders>
              <w:left w:val="single" w:sz="1" w:space="0" w:color="000000"/>
              <w:bottom w:val="single" w:sz="1" w:space="0" w:color="000000"/>
            </w:tcBorders>
          </w:tcPr>
          <w:p w14:paraId="294B2FC6" w14:textId="77777777" w:rsidR="000F5C52" w:rsidRPr="008B129E" w:rsidRDefault="000F5C52" w:rsidP="00AF6439">
            <w:pPr>
              <w:pStyle w:val="Contenutotabella"/>
              <w:rPr>
                <w:b/>
                <w:bCs/>
                <w:sz w:val="22"/>
                <w:szCs w:val="22"/>
              </w:rPr>
            </w:pPr>
            <w:r w:rsidRPr="008B129E">
              <w:rPr>
                <w:sz w:val="22"/>
                <w:szCs w:val="22"/>
              </w:rPr>
              <w:t>Dipendenti indeterminato</w:t>
            </w:r>
          </w:p>
        </w:tc>
        <w:tc>
          <w:tcPr>
            <w:tcW w:w="2259" w:type="dxa"/>
            <w:tcBorders>
              <w:left w:val="single" w:sz="1" w:space="0" w:color="000000"/>
              <w:bottom w:val="single" w:sz="1" w:space="0" w:color="000000"/>
            </w:tcBorders>
          </w:tcPr>
          <w:p w14:paraId="44747866" w14:textId="77777777" w:rsidR="000F5C52" w:rsidRPr="008B129E" w:rsidRDefault="000F5C52" w:rsidP="00AF6439">
            <w:pPr>
              <w:pStyle w:val="Contenutotabella"/>
              <w:snapToGrid w:val="0"/>
              <w:jc w:val="center"/>
              <w:rPr>
                <w:b/>
                <w:bCs/>
                <w:sz w:val="22"/>
                <w:szCs w:val="22"/>
              </w:rPr>
            </w:pPr>
            <w:r w:rsidRPr="008B129E">
              <w:rPr>
                <w:b/>
                <w:bCs/>
                <w:sz w:val="22"/>
                <w:szCs w:val="22"/>
              </w:rPr>
              <w:t>8</w:t>
            </w:r>
          </w:p>
        </w:tc>
        <w:tc>
          <w:tcPr>
            <w:tcW w:w="2259" w:type="dxa"/>
            <w:tcBorders>
              <w:left w:val="single" w:sz="1" w:space="0" w:color="000000"/>
              <w:bottom w:val="single" w:sz="1" w:space="0" w:color="000000"/>
            </w:tcBorders>
          </w:tcPr>
          <w:p w14:paraId="433BC71B" w14:textId="77777777" w:rsidR="000F5C52" w:rsidRPr="008B129E" w:rsidRDefault="000F5C52" w:rsidP="00AF6439">
            <w:pPr>
              <w:pStyle w:val="Contenutotabella"/>
              <w:snapToGrid w:val="0"/>
              <w:jc w:val="center"/>
              <w:rPr>
                <w:b/>
                <w:bCs/>
                <w:sz w:val="22"/>
                <w:szCs w:val="22"/>
              </w:rPr>
            </w:pPr>
            <w:r w:rsidRPr="008B129E">
              <w:rPr>
                <w:b/>
                <w:bCs/>
                <w:sz w:val="22"/>
                <w:szCs w:val="22"/>
              </w:rPr>
              <w:t>13</w:t>
            </w:r>
          </w:p>
        </w:tc>
        <w:tc>
          <w:tcPr>
            <w:tcW w:w="2454" w:type="dxa"/>
            <w:tcBorders>
              <w:left w:val="single" w:sz="1" w:space="0" w:color="000000"/>
              <w:bottom w:val="single" w:sz="1" w:space="0" w:color="000000"/>
              <w:right w:val="single" w:sz="1" w:space="0" w:color="000000"/>
            </w:tcBorders>
          </w:tcPr>
          <w:p w14:paraId="67523FC8" w14:textId="77777777" w:rsidR="000F5C52" w:rsidRPr="008B129E" w:rsidRDefault="000F5C52" w:rsidP="00AF6439">
            <w:pPr>
              <w:pStyle w:val="Contenutotabella"/>
              <w:snapToGrid w:val="0"/>
              <w:jc w:val="center"/>
              <w:rPr>
                <w:b/>
                <w:bCs/>
                <w:sz w:val="22"/>
                <w:szCs w:val="22"/>
              </w:rPr>
            </w:pPr>
            <w:r w:rsidRPr="008B129E">
              <w:rPr>
                <w:b/>
                <w:bCs/>
                <w:sz w:val="22"/>
                <w:szCs w:val="22"/>
              </w:rPr>
              <w:t>21</w:t>
            </w:r>
          </w:p>
        </w:tc>
      </w:tr>
      <w:tr w:rsidR="000F5C52" w:rsidRPr="008B129E" w14:paraId="36FE47A8" w14:textId="77777777" w:rsidTr="00AF6439">
        <w:trPr>
          <w:jc w:val="center"/>
        </w:trPr>
        <w:tc>
          <w:tcPr>
            <w:tcW w:w="2206" w:type="dxa"/>
            <w:tcBorders>
              <w:left w:val="single" w:sz="1" w:space="0" w:color="000000"/>
              <w:bottom w:val="single" w:sz="1" w:space="0" w:color="000000"/>
            </w:tcBorders>
          </w:tcPr>
          <w:p w14:paraId="30B0DB20" w14:textId="77777777" w:rsidR="000F5C52" w:rsidRPr="008B129E" w:rsidRDefault="000F5C52" w:rsidP="00AF6439">
            <w:pPr>
              <w:pStyle w:val="Contenutotabella"/>
              <w:rPr>
                <w:b/>
                <w:bCs/>
                <w:sz w:val="22"/>
                <w:szCs w:val="22"/>
              </w:rPr>
            </w:pPr>
            <w:r w:rsidRPr="008B129E">
              <w:rPr>
                <w:sz w:val="22"/>
                <w:szCs w:val="22"/>
              </w:rPr>
              <w:t>Dipendenti tempo determinato</w:t>
            </w:r>
          </w:p>
        </w:tc>
        <w:tc>
          <w:tcPr>
            <w:tcW w:w="2259" w:type="dxa"/>
            <w:tcBorders>
              <w:left w:val="single" w:sz="1" w:space="0" w:color="000000"/>
              <w:bottom w:val="single" w:sz="1" w:space="0" w:color="000000"/>
            </w:tcBorders>
          </w:tcPr>
          <w:p w14:paraId="0BD327CE" w14:textId="77777777" w:rsidR="000F5C52" w:rsidRPr="008B129E" w:rsidRDefault="000F5C52" w:rsidP="00AF6439">
            <w:pPr>
              <w:pStyle w:val="Contenutotabella"/>
              <w:snapToGrid w:val="0"/>
              <w:jc w:val="center"/>
              <w:rPr>
                <w:b/>
                <w:bCs/>
                <w:sz w:val="22"/>
                <w:szCs w:val="22"/>
              </w:rPr>
            </w:pPr>
          </w:p>
        </w:tc>
        <w:tc>
          <w:tcPr>
            <w:tcW w:w="2259" w:type="dxa"/>
            <w:tcBorders>
              <w:left w:val="single" w:sz="1" w:space="0" w:color="000000"/>
              <w:bottom w:val="single" w:sz="1" w:space="0" w:color="000000"/>
            </w:tcBorders>
          </w:tcPr>
          <w:p w14:paraId="3EAAC0C2" w14:textId="77777777" w:rsidR="000F5C52" w:rsidRPr="008B129E" w:rsidRDefault="000F5C52" w:rsidP="00AF6439">
            <w:pPr>
              <w:pStyle w:val="Contenutotabella"/>
              <w:snapToGrid w:val="0"/>
              <w:rPr>
                <w:b/>
                <w:bCs/>
                <w:sz w:val="22"/>
                <w:szCs w:val="22"/>
              </w:rPr>
            </w:pPr>
          </w:p>
        </w:tc>
        <w:tc>
          <w:tcPr>
            <w:tcW w:w="2454" w:type="dxa"/>
            <w:tcBorders>
              <w:left w:val="single" w:sz="1" w:space="0" w:color="000000"/>
              <w:bottom w:val="single" w:sz="1" w:space="0" w:color="000000"/>
              <w:right w:val="single" w:sz="1" w:space="0" w:color="000000"/>
            </w:tcBorders>
          </w:tcPr>
          <w:p w14:paraId="37B1B1C9" w14:textId="77777777" w:rsidR="000F5C52" w:rsidRPr="008B129E" w:rsidRDefault="000F5C52" w:rsidP="00AF6439">
            <w:pPr>
              <w:pStyle w:val="Contenutotabella"/>
              <w:snapToGrid w:val="0"/>
              <w:rPr>
                <w:b/>
                <w:bCs/>
                <w:sz w:val="22"/>
                <w:szCs w:val="22"/>
              </w:rPr>
            </w:pPr>
          </w:p>
        </w:tc>
      </w:tr>
      <w:tr w:rsidR="000F5C52" w:rsidRPr="008B129E" w14:paraId="232E776F" w14:textId="77777777" w:rsidTr="00AF6439">
        <w:trPr>
          <w:jc w:val="center"/>
        </w:trPr>
        <w:tc>
          <w:tcPr>
            <w:tcW w:w="2206" w:type="dxa"/>
            <w:tcBorders>
              <w:left w:val="single" w:sz="1" w:space="0" w:color="000000"/>
              <w:bottom w:val="single" w:sz="1" w:space="0" w:color="000000"/>
            </w:tcBorders>
          </w:tcPr>
          <w:p w14:paraId="540FD77D" w14:textId="77777777" w:rsidR="000F5C52" w:rsidRPr="008B129E" w:rsidRDefault="000F5C52" w:rsidP="00AF6439">
            <w:pPr>
              <w:pStyle w:val="Contenutotabella"/>
              <w:rPr>
                <w:sz w:val="22"/>
                <w:szCs w:val="22"/>
              </w:rPr>
            </w:pPr>
            <w:r w:rsidRPr="008B129E">
              <w:rPr>
                <w:sz w:val="22"/>
                <w:szCs w:val="22"/>
              </w:rPr>
              <w:t>In aspettativa</w:t>
            </w:r>
          </w:p>
        </w:tc>
        <w:tc>
          <w:tcPr>
            <w:tcW w:w="2259" w:type="dxa"/>
            <w:tcBorders>
              <w:left w:val="single" w:sz="1" w:space="0" w:color="000000"/>
              <w:bottom w:val="single" w:sz="1" w:space="0" w:color="000000"/>
            </w:tcBorders>
          </w:tcPr>
          <w:p w14:paraId="7ECABFFB" w14:textId="77777777" w:rsidR="000F5C52" w:rsidRPr="008B129E" w:rsidRDefault="000F5C52" w:rsidP="00AF6439">
            <w:pPr>
              <w:pStyle w:val="Contenutotabella"/>
              <w:snapToGrid w:val="0"/>
              <w:jc w:val="center"/>
              <w:rPr>
                <w:b/>
                <w:bCs/>
                <w:sz w:val="22"/>
                <w:szCs w:val="22"/>
              </w:rPr>
            </w:pPr>
          </w:p>
        </w:tc>
        <w:tc>
          <w:tcPr>
            <w:tcW w:w="2259" w:type="dxa"/>
            <w:tcBorders>
              <w:left w:val="single" w:sz="1" w:space="0" w:color="000000"/>
              <w:bottom w:val="single" w:sz="1" w:space="0" w:color="000000"/>
            </w:tcBorders>
          </w:tcPr>
          <w:p w14:paraId="4333FDC3" w14:textId="77777777" w:rsidR="000F5C52" w:rsidRPr="008B129E" w:rsidRDefault="000F5C52" w:rsidP="00AF6439">
            <w:pPr>
              <w:pStyle w:val="Contenutotabella"/>
              <w:snapToGrid w:val="0"/>
              <w:jc w:val="center"/>
              <w:rPr>
                <w:b/>
                <w:bCs/>
                <w:sz w:val="22"/>
                <w:szCs w:val="22"/>
              </w:rPr>
            </w:pPr>
          </w:p>
        </w:tc>
        <w:tc>
          <w:tcPr>
            <w:tcW w:w="2454" w:type="dxa"/>
            <w:tcBorders>
              <w:left w:val="single" w:sz="1" w:space="0" w:color="000000"/>
              <w:bottom w:val="single" w:sz="1" w:space="0" w:color="000000"/>
              <w:right w:val="single" w:sz="1" w:space="0" w:color="000000"/>
            </w:tcBorders>
          </w:tcPr>
          <w:p w14:paraId="3C9B0C2A" w14:textId="77777777" w:rsidR="000F5C52" w:rsidRPr="008B129E" w:rsidRDefault="000F5C52" w:rsidP="00AF6439">
            <w:pPr>
              <w:pStyle w:val="Contenutotabella"/>
              <w:snapToGrid w:val="0"/>
              <w:jc w:val="center"/>
              <w:rPr>
                <w:b/>
                <w:bCs/>
                <w:sz w:val="22"/>
                <w:szCs w:val="22"/>
              </w:rPr>
            </w:pPr>
          </w:p>
        </w:tc>
      </w:tr>
      <w:tr w:rsidR="000F5C52" w:rsidRPr="008B129E" w14:paraId="32AE1E38" w14:textId="77777777" w:rsidTr="00AF6439">
        <w:trPr>
          <w:jc w:val="center"/>
        </w:trPr>
        <w:tc>
          <w:tcPr>
            <w:tcW w:w="2206" w:type="dxa"/>
            <w:tcBorders>
              <w:left w:val="single" w:sz="1" w:space="0" w:color="000000"/>
              <w:bottom w:val="single" w:sz="1" w:space="0" w:color="000000"/>
            </w:tcBorders>
          </w:tcPr>
          <w:p w14:paraId="48A89E70" w14:textId="77777777" w:rsidR="000F5C52" w:rsidRPr="008B129E" w:rsidRDefault="000F5C52" w:rsidP="00AF6439">
            <w:pPr>
              <w:pStyle w:val="Contenutotabella"/>
              <w:rPr>
                <w:b/>
                <w:bCs/>
                <w:sz w:val="22"/>
                <w:szCs w:val="22"/>
              </w:rPr>
            </w:pPr>
            <w:r w:rsidRPr="008B129E">
              <w:rPr>
                <w:b/>
                <w:bCs/>
                <w:sz w:val="22"/>
                <w:szCs w:val="22"/>
              </w:rPr>
              <w:t>Operatori esperti</w:t>
            </w:r>
          </w:p>
        </w:tc>
        <w:tc>
          <w:tcPr>
            <w:tcW w:w="2259" w:type="dxa"/>
            <w:tcBorders>
              <w:left w:val="single" w:sz="1" w:space="0" w:color="000000"/>
              <w:bottom w:val="single" w:sz="1" w:space="0" w:color="000000"/>
            </w:tcBorders>
          </w:tcPr>
          <w:p w14:paraId="07D3029C" w14:textId="77777777" w:rsidR="000F5C52" w:rsidRPr="008B129E" w:rsidRDefault="000F5C52" w:rsidP="00AF6439">
            <w:pPr>
              <w:pStyle w:val="Contenutotabella"/>
              <w:rPr>
                <w:b/>
                <w:bCs/>
                <w:sz w:val="22"/>
                <w:szCs w:val="22"/>
              </w:rPr>
            </w:pPr>
            <w:r w:rsidRPr="008B129E">
              <w:rPr>
                <w:b/>
                <w:bCs/>
                <w:sz w:val="22"/>
                <w:szCs w:val="22"/>
              </w:rPr>
              <w:t>Donne</w:t>
            </w:r>
          </w:p>
        </w:tc>
        <w:tc>
          <w:tcPr>
            <w:tcW w:w="2259" w:type="dxa"/>
            <w:tcBorders>
              <w:left w:val="single" w:sz="1" w:space="0" w:color="000000"/>
              <w:bottom w:val="single" w:sz="1" w:space="0" w:color="000000"/>
            </w:tcBorders>
          </w:tcPr>
          <w:p w14:paraId="4517DEEE" w14:textId="77777777" w:rsidR="000F5C52" w:rsidRPr="008B129E" w:rsidRDefault="000F5C52" w:rsidP="00AF6439">
            <w:pPr>
              <w:pStyle w:val="Contenutotabella"/>
              <w:rPr>
                <w:b/>
                <w:bCs/>
                <w:sz w:val="22"/>
                <w:szCs w:val="22"/>
              </w:rPr>
            </w:pPr>
            <w:r w:rsidRPr="008B129E">
              <w:rPr>
                <w:b/>
                <w:bCs/>
                <w:sz w:val="22"/>
                <w:szCs w:val="22"/>
              </w:rPr>
              <w:t>Uomini</w:t>
            </w:r>
          </w:p>
        </w:tc>
        <w:tc>
          <w:tcPr>
            <w:tcW w:w="2454" w:type="dxa"/>
            <w:tcBorders>
              <w:left w:val="single" w:sz="1" w:space="0" w:color="000000"/>
              <w:bottom w:val="single" w:sz="1" w:space="0" w:color="000000"/>
              <w:right w:val="single" w:sz="1" w:space="0" w:color="000000"/>
            </w:tcBorders>
          </w:tcPr>
          <w:p w14:paraId="3FD03C82" w14:textId="77777777" w:rsidR="000F5C52" w:rsidRPr="008B129E" w:rsidRDefault="000F5C52" w:rsidP="00AF6439">
            <w:pPr>
              <w:pStyle w:val="Contenutotabella"/>
              <w:rPr>
                <w:sz w:val="22"/>
                <w:szCs w:val="22"/>
              </w:rPr>
            </w:pPr>
            <w:r w:rsidRPr="008B129E">
              <w:rPr>
                <w:b/>
                <w:bCs/>
                <w:sz w:val="22"/>
                <w:szCs w:val="22"/>
              </w:rPr>
              <w:t>Totale</w:t>
            </w:r>
          </w:p>
        </w:tc>
      </w:tr>
      <w:tr w:rsidR="000F5C52" w:rsidRPr="008B129E" w14:paraId="34391F60" w14:textId="77777777" w:rsidTr="00AF6439">
        <w:trPr>
          <w:jc w:val="center"/>
        </w:trPr>
        <w:tc>
          <w:tcPr>
            <w:tcW w:w="2206" w:type="dxa"/>
            <w:tcBorders>
              <w:left w:val="single" w:sz="1" w:space="0" w:color="000000"/>
              <w:bottom w:val="single" w:sz="1" w:space="0" w:color="000000"/>
            </w:tcBorders>
          </w:tcPr>
          <w:p w14:paraId="5CCA1FC3" w14:textId="77777777" w:rsidR="000F5C52" w:rsidRPr="008B129E" w:rsidRDefault="000F5C52" w:rsidP="00AF6439">
            <w:pPr>
              <w:pStyle w:val="Contenutotabella"/>
              <w:rPr>
                <w:b/>
                <w:bCs/>
                <w:sz w:val="22"/>
                <w:szCs w:val="22"/>
              </w:rPr>
            </w:pPr>
            <w:r w:rsidRPr="008B129E">
              <w:rPr>
                <w:sz w:val="22"/>
                <w:szCs w:val="22"/>
              </w:rPr>
              <w:t>Dipendenti indeterminato</w:t>
            </w:r>
          </w:p>
        </w:tc>
        <w:tc>
          <w:tcPr>
            <w:tcW w:w="2259" w:type="dxa"/>
            <w:tcBorders>
              <w:left w:val="single" w:sz="1" w:space="0" w:color="000000"/>
              <w:bottom w:val="single" w:sz="1" w:space="0" w:color="000000"/>
            </w:tcBorders>
          </w:tcPr>
          <w:p w14:paraId="51315860" w14:textId="77777777" w:rsidR="000F5C52" w:rsidRPr="008B129E" w:rsidRDefault="000F5C52" w:rsidP="00AF6439">
            <w:pPr>
              <w:pStyle w:val="Contenutotabella"/>
              <w:snapToGrid w:val="0"/>
              <w:jc w:val="center"/>
              <w:rPr>
                <w:b/>
                <w:bCs/>
                <w:sz w:val="22"/>
                <w:szCs w:val="22"/>
              </w:rPr>
            </w:pPr>
            <w:r w:rsidRPr="008B129E">
              <w:rPr>
                <w:b/>
                <w:bCs/>
                <w:sz w:val="22"/>
                <w:szCs w:val="22"/>
              </w:rPr>
              <w:t>5</w:t>
            </w:r>
          </w:p>
        </w:tc>
        <w:tc>
          <w:tcPr>
            <w:tcW w:w="2259" w:type="dxa"/>
            <w:tcBorders>
              <w:left w:val="single" w:sz="1" w:space="0" w:color="000000"/>
              <w:bottom w:val="single" w:sz="1" w:space="0" w:color="000000"/>
            </w:tcBorders>
          </w:tcPr>
          <w:p w14:paraId="6D18413A" w14:textId="77777777" w:rsidR="000F5C52" w:rsidRPr="008B129E" w:rsidRDefault="000F5C52" w:rsidP="00AF6439">
            <w:pPr>
              <w:pStyle w:val="Contenutotabella"/>
              <w:snapToGrid w:val="0"/>
              <w:jc w:val="center"/>
              <w:rPr>
                <w:b/>
                <w:bCs/>
                <w:sz w:val="22"/>
                <w:szCs w:val="22"/>
              </w:rPr>
            </w:pPr>
            <w:r w:rsidRPr="008B129E">
              <w:rPr>
                <w:b/>
                <w:bCs/>
                <w:sz w:val="22"/>
                <w:szCs w:val="22"/>
              </w:rPr>
              <w:t>2</w:t>
            </w:r>
          </w:p>
        </w:tc>
        <w:tc>
          <w:tcPr>
            <w:tcW w:w="2454" w:type="dxa"/>
            <w:tcBorders>
              <w:left w:val="single" w:sz="1" w:space="0" w:color="000000"/>
              <w:bottom w:val="single" w:sz="1" w:space="0" w:color="000000"/>
              <w:right w:val="single" w:sz="1" w:space="0" w:color="000000"/>
            </w:tcBorders>
          </w:tcPr>
          <w:p w14:paraId="568B2C8E" w14:textId="77777777" w:rsidR="000F5C52" w:rsidRPr="008B129E" w:rsidRDefault="000F5C52" w:rsidP="00AF6439">
            <w:pPr>
              <w:pStyle w:val="Contenutotabella"/>
              <w:snapToGrid w:val="0"/>
              <w:jc w:val="center"/>
              <w:rPr>
                <w:b/>
                <w:bCs/>
                <w:sz w:val="22"/>
                <w:szCs w:val="22"/>
              </w:rPr>
            </w:pPr>
            <w:r w:rsidRPr="008B129E">
              <w:rPr>
                <w:b/>
                <w:bCs/>
                <w:sz w:val="22"/>
                <w:szCs w:val="22"/>
              </w:rPr>
              <w:t>7</w:t>
            </w:r>
          </w:p>
        </w:tc>
      </w:tr>
      <w:tr w:rsidR="000F5C52" w:rsidRPr="008B129E" w14:paraId="2F510A7C" w14:textId="77777777" w:rsidTr="00AF6439">
        <w:trPr>
          <w:jc w:val="center"/>
        </w:trPr>
        <w:tc>
          <w:tcPr>
            <w:tcW w:w="2206" w:type="dxa"/>
            <w:tcBorders>
              <w:left w:val="single" w:sz="1" w:space="0" w:color="000000"/>
              <w:bottom w:val="single" w:sz="1" w:space="0" w:color="000000"/>
            </w:tcBorders>
          </w:tcPr>
          <w:p w14:paraId="0E756CE9" w14:textId="77777777" w:rsidR="000F5C52" w:rsidRPr="008B129E" w:rsidRDefault="000F5C52" w:rsidP="00AF6439">
            <w:pPr>
              <w:pStyle w:val="Contenutotabella"/>
              <w:rPr>
                <w:sz w:val="22"/>
                <w:szCs w:val="22"/>
              </w:rPr>
            </w:pPr>
            <w:r w:rsidRPr="008B129E">
              <w:rPr>
                <w:sz w:val="22"/>
                <w:szCs w:val="22"/>
              </w:rPr>
              <w:t>Dipendenti tempo determinato</w:t>
            </w:r>
          </w:p>
        </w:tc>
        <w:tc>
          <w:tcPr>
            <w:tcW w:w="2259" w:type="dxa"/>
            <w:tcBorders>
              <w:left w:val="single" w:sz="1" w:space="0" w:color="000000"/>
              <w:bottom w:val="single" w:sz="1" w:space="0" w:color="000000"/>
            </w:tcBorders>
          </w:tcPr>
          <w:p w14:paraId="49DFE19D" w14:textId="77777777" w:rsidR="000F5C52" w:rsidRPr="008B129E" w:rsidRDefault="000F5C52" w:rsidP="00AF6439">
            <w:pPr>
              <w:pStyle w:val="Contenutotabella"/>
              <w:snapToGrid w:val="0"/>
              <w:jc w:val="center"/>
              <w:rPr>
                <w:b/>
                <w:bCs/>
                <w:sz w:val="22"/>
                <w:szCs w:val="22"/>
              </w:rPr>
            </w:pPr>
          </w:p>
        </w:tc>
        <w:tc>
          <w:tcPr>
            <w:tcW w:w="2259" w:type="dxa"/>
            <w:tcBorders>
              <w:left w:val="single" w:sz="1" w:space="0" w:color="000000"/>
              <w:bottom w:val="single" w:sz="1" w:space="0" w:color="000000"/>
            </w:tcBorders>
          </w:tcPr>
          <w:p w14:paraId="2CDF1C01" w14:textId="77777777" w:rsidR="000F5C52" w:rsidRPr="008B129E" w:rsidRDefault="000F5C52" w:rsidP="00AF6439">
            <w:pPr>
              <w:pStyle w:val="Contenutotabella"/>
              <w:snapToGrid w:val="0"/>
              <w:jc w:val="center"/>
              <w:rPr>
                <w:b/>
                <w:bCs/>
                <w:sz w:val="22"/>
                <w:szCs w:val="22"/>
              </w:rPr>
            </w:pPr>
          </w:p>
        </w:tc>
        <w:tc>
          <w:tcPr>
            <w:tcW w:w="2454" w:type="dxa"/>
            <w:tcBorders>
              <w:left w:val="single" w:sz="1" w:space="0" w:color="000000"/>
              <w:bottom w:val="single" w:sz="1" w:space="0" w:color="000000"/>
              <w:right w:val="single" w:sz="1" w:space="0" w:color="000000"/>
            </w:tcBorders>
          </w:tcPr>
          <w:p w14:paraId="06420F49" w14:textId="77777777" w:rsidR="000F5C52" w:rsidRPr="008B129E" w:rsidRDefault="000F5C52" w:rsidP="00AF6439">
            <w:pPr>
              <w:pStyle w:val="Contenutotabella"/>
              <w:snapToGrid w:val="0"/>
              <w:jc w:val="center"/>
              <w:rPr>
                <w:b/>
                <w:bCs/>
                <w:sz w:val="22"/>
                <w:szCs w:val="22"/>
              </w:rPr>
            </w:pPr>
          </w:p>
        </w:tc>
      </w:tr>
      <w:tr w:rsidR="000F5C52" w:rsidRPr="008B129E" w14:paraId="5DEDDDB4" w14:textId="77777777" w:rsidTr="00AF6439">
        <w:trPr>
          <w:jc w:val="center"/>
        </w:trPr>
        <w:tc>
          <w:tcPr>
            <w:tcW w:w="2206" w:type="dxa"/>
            <w:tcBorders>
              <w:left w:val="single" w:sz="1" w:space="0" w:color="000000"/>
              <w:bottom w:val="single" w:sz="1" w:space="0" w:color="000000"/>
            </w:tcBorders>
          </w:tcPr>
          <w:p w14:paraId="530BFBE8" w14:textId="77777777" w:rsidR="000F5C52" w:rsidRPr="008B129E" w:rsidRDefault="000F5C52" w:rsidP="00AF6439">
            <w:pPr>
              <w:pStyle w:val="Contenutotabella"/>
              <w:rPr>
                <w:b/>
                <w:bCs/>
                <w:sz w:val="22"/>
                <w:szCs w:val="22"/>
              </w:rPr>
            </w:pPr>
            <w:r w:rsidRPr="008B129E">
              <w:rPr>
                <w:b/>
                <w:bCs/>
                <w:sz w:val="22"/>
                <w:szCs w:val="22"/>
              </w:rPr>
              <w:t>Operatori</w:t>
            </w:r>
          </w:p>
        </w:tc>
        <w:tc>
          <w:tcPr>
            <w:tcW w:w="2259" w:type="dxa"/>
            <w:tcBorders>
              <w:left w:val="single" w:sz="1" w:space="0" w:color="000000"/>
              <w:bottom w:val="single" w:sz="1" w:space="0" w:color="000000"/>
            </w:tcBorders>
          </w:tcPr>
          <w:p w14:paraId="0DCBCA5A" w14:textId="77777777" w:rsidR="000F5C52" w:rsidRPr="008B129E" w:rsidRDefault="000F5C52" w:rsidP="00AF6439">
            <w:pPr>
              <w:pStyle w:val="Contenutotabella"/>
              <w:rPr>
                <w:b/>
                <w:bCs/>
                <w:sz w:val="22"/>
                <w:szCs w:val="22"/>
              </w:rPr>
            </w:pPr>
            <w:r w:rsidRPr="008B129E">
              <w:rPr>
                <w:b/>
                <w:bCs/>
                <w:sz w:val="22"/>
                <w:szCs w:val="22"/>
              </w:rPr>
              <w:t>Donne</w:t>
            </w:r>
          </w:p>
        </w:tc>
        <w:tc>
          <w:tcPr>
            <w:tcW w:w="2259" w:type="dxa"/>
            <w:tcBorders>
              <w:left w:val="single" w:sz="1" w:space="0" w:color="000000"/>
              <w:bottom w:val="single" w:sz="1" w:space="0" w:color="000000"/>
            </w:tcBorders>
          </w:tcPr>
          <w:p w14:paraId="5E1E94B8" w14:textId="77777777" w:rsidR="000F5C52" w:rsidRPr="008B129E" w:rsidRDefault="000F5C52" w:rsidP="00AF6439">
            <w:pPr>
              <w:pStyle w:val="Contenutotabella"/>
              <w:rPr>
                <w:b/>
                <w:bCs/>
                <w:sz w:val="22"/>
                <w:szCs w:val="22"/>
              </w:rPr>
            </w:pPr>
            <w:r w:rsidRPr="008B129E">
              <w:rPr>
                <w:b/>
                <w:bCs/>
                <w:sz w:val="22"/>
                <w:szCs w:val="22"/>
              </w:rPr>
              <w:t>Uomini</w:t>
            </w:r>
          </w:p>
        </w:tc>
        <w:tc>
          <w:tcPr>
            <w:tcW w:w="2454" w:type="dxa"/>
            <w:tcBorders>
              <w:left w:val="single" w:sz="1" w:space="0" w:color="000000"/>
              <w:bottom w:val="single" w:sz="1" w:space="0" w:color="000000"/>
              <w:right w:val="single" w:sz="1" w:space="0" w:color="000000"/>
            </w:tcBorders>
          </w:tcPr>
          <w:p w14:paraId="563C2F42" w14:textId="77777777" w:rsidR="000F5C52" w:rsidRPr="008B129E" w:rsidRDefault="000F5C52" w:rsidP="00AF6439">
            <w:pPr>
              <w:pStyle w:val="Contenutotabella"/>
              <w:rPr>
                <w:sz w:val="22"/>
                <w:szCs w:val="22"/>
              </w:rPr>
            </w:pPr>
            <w:r w:rsidRPr="008B129E">
              <w:rPr>
                <w:b/>
                <w:bCs/>
                <w:sz w:val="22"/>
                <w:szCs w:val="22"/>
              </w:rPr>
              <w:t>Totale</w:t>
            </w:r>
          </w:p>
        </w:tc>
      </w:tr>
      <w:tr w:rsidR="000F5C52" w:rsidRPr="008B129E" w14:paraId="1BA2B667" w14:textId="77777777" w:rsidTr="00AF6439">
        <w:trPr>
          <w:jc w:val="center"/>
        </w:trPr>
        <w:tc>
          <w:tcPr>
            <w:tcW w:w="2206" w:type="dxa"/>
            <w:tcBorders>
              <w:left w:val="single" w:sz="1" w:space="0" w:color="000000"/>
              <w:bottom w:val="single" w:sz="1" w:space="0" w:color="000000"/>
            </w:tcBorders>
          </w:tcPr>
          <w:p w14:paraId="095F1D5B" w14:textId="77777777" w:rsidR="000F5C52" w:rsidRPr="008B129E" w:rsidRDefault="000F5C52" w:rsidP="00AF6439">
            <w:pPr>
              <w:pStyle w:val="Contenutotabella"/>
              <w:rPr>
                <w:b/>
                <w:bCs/>
                <w:sz w:val="22"/>
                <w:szCs w:val="22"/>
              </w:rPr>
            </w:pPr>
            <w:r w:rsidRPr="008B129E">
              <w:rPr>
                <w:sz w:val="22"/>
                <w:szCs w:val="22"/>
              </w:rPr>
              <w:t>Dipendenti indeterminato</w:t>
            </w:r>
          </w:p>
        </w:tc>
        <w:tc>
          <w:tcPr>
            <w:tcW w:w="2259" w:type="dxa"/>
            <w:tcBorders>
              <w:left w:val="single" w:sz="1" w:space="0" w:color="000000"/>
              <w:bottom w:val="single" w:sz="1" w:space="0" w:color="000000"/>
            </w:tcBorders>
          </w:tcPr>
          <w:p w14:paraId="20F5F32B" w14:textId="77777777" w:rsidR="000F5C52" w:rsidRPr="008B129E" w:rsidRDefault="000F5C52" w:rsidP="00AF6439">
            <w:pPr>
              <w:pStyle w:val="Contenutotabella"/>
              <w:snapToGrid w:val="0"/>
              <w:jc w:val="center"/>
              <w:rPr>
                <w:b/>
                <w:bCs/>
                <w:sz w:val="22"/>
                <w:szCs w:val="22"/>
              </w:rPr>
            </w:pPr>
          </w:p>
        </w:tc>
        <w:tc>
          <w:tcPr>
            <w:tcW w:w="2259" w:type="dxa"/>
            <w:tcBorders>
              <w:left w:val="single" w:sz="1" w:space="0" w:color="000000"/>
              <w:bottom w:val="single" w:sz="1" w:space="0" w:color="000000"/>
            </w:tcBorders>
          </w:tcPr>
          <w:p w14:paraId="167E7A90" w14:textId="77777777" w:rsidR="000F5C52" w:rsidRPr="008B129E" w:rsidRDefault="000F5C52" w:rsidP="00AF6439">
            <w:pPr>
              <w:pStyle w:val="Contenutotabella"/>
              <w:snapToGrid w:val="0"/>
              <w:jc w:val="center"/>
              <w:rPr>
                <w:b/>
                <w:bCs/>
                <w:sz w:val="22"/>
                <w:szCs w:val="22"/>
              </w:rPr>
            </w:pPr>
          </w:p>
        </w:tc>
        <w:tc>
          <w:tcPr>
            <w:tcW w:w="2454" w:type="dxa"/>
            <w:tcBorders>
              <w:left w:val="single" w:sz="1" w:space="0" w:color="000000"/>
              <w:bottom w:val="single" w:sz="1" w:space="0" w:color="000000"/>
              <w:right w:val="single" w:sz="1" w:space="0" w:color="000000"/>
            </w:tcBorders>
          </w:tcPr>
          <w:p w14:paraId="0D3093CC" w14:textId="77777777" w:rsidR="000F5C52" w:rsidRPr="008B129E" w:rsidRDefault="000F5C52" w:rsidP="00AF6439">
            <w:pPr>
              <w:pStyle w:val="Contenutotabella"/>
              <w:snapToGrid w:val="0"/>
              <w:jc w:val="center"/>
              <w:rPr>
                <w:b/>
                <w:bCs/>
                <w:sz w:val="22"/>
                <w:szCs w:val="22"/>
              </w:rPr>
            </w:pPr>
          </w:p>
        </w:tc>
      </w:tr>
      <w:tr w:rsidR="000F5C52" w:rsidRPr="008B129E" w14:paraId="59FC20C4" w14:textId="77777777" w:rsidTr="00AF6439">
        <w:trPr>
          <w:jc w:val="center"/>
        </w:trPr>
        <w:tc>
          <w:tcPr>
            <w:tcW w:w="2206" w:type="dxa"/>
            <w:tcBorders>
              <w:left w:val="single" w:sz="1" w:space="0" w:color="000000"/>
              <w:bottom w:val="single" w:sz="1" w:space="0" w:color="000000"/>
            </w:tcBorders>
          </w:tcPr>
          <w:p w14:paraId="4C3C5739" w14:textId="77777777" w:rsidR="000F5C52" w:rsidRPr="008B129E" w:rsidRDefault="000F5C52" w:rsidP="00AF6439">
            <w:pPr>
              <w:pStyle w:val="Contenutotabella"/>
              <w:rPr>
                <w:sz w:val="22"/>
                <w:szCs w:val="22"/>
              </w:rPr>
            </w:pPr>
            <w:r w:rsidRPr="008B129E">
              <w:rPr>
                <w:sz w:val="22"/>
                <w:szCs w:val="22"/>
              </w:rPr>
              <w:t>Dipendenti tempo determinato</w:t>
            </w:r>
          </w:p>
        </w:tc>
        <w:tc>
          <w:tcPr>
            <w:tcW w:w="2259" w:type="dxa"/>
            <w:tcBorders>
              <w:left w:val="single" w:sz="1" w:space="0" w:color="000000"/>
              <w:bottom w:val="single" w:sz="1" w:space="0" w:color="000000"/>
            </w:tcBorders>
          </w:tcPr>
          <w:p w14:paraId="41EAFC53" w14:textId="77777777" w:rsidR="000F5C52" w:rsidRPr="008B129E" w:rsidRDefault="000F5C52" w:rsidP="00AF6439">
            <w:pPr>
              <w:pStyle w:val="Contenutotabella"/>
              <w:snapToGrid w:val="0"/>
              <w:jc w:val="center"/>
              <w:rPr>
                <w:b/>
                <w:bCs/>
                <w:sz w:val="22"/>
                <w:szCs w:val="22"/>
              </w:rPr>
            </w:pPr>
          </w:p>
        </w:tc>
        <w:tc>
          <w:tcPr>
            <w:tcW w:w="2259" w:type="dxa"/>
            <w:tcBorders>
              <w:left w:val="single" w:sz="1" w:space="0" w:color="000000"/>
              <w:bottom w:val="single" w:sz="1" w:space="0" w:color="000000"/>
            </w:tcBorders>
          </w:tcPr>
          <w:p w14:paraId="6EDED517" w14:textId="77777777" w:rsidR="000F5C52" w:rsidRPr="008B129E" w:rsidRDefault="000F5C52" w:rsidP="00AF6439">
            <w:pPr>
              <w:pStyle w:val="Contenutotabella"/>
              <w:snapToGrid w:val="0"/>
              <w:jc w:val="center"/>
              <w:rPr>
                <w:b/>
                <w:bCs/>
                <w:sz w:val="22"/>
                <w:szCs w:val="22"/>
              </w:rPr>
            </w:pPr>
          </w:p>
        </w:tc>
        <w:tc>
          <w:tcPr>
            <w:tcW w:w="2454" w:type="dxa"/>
            <w:tcBorders>
              <w:left w:val="single" w:sz="1" w:space="0" w:color="000000"/>
              <w:bottom w:val="single" w:sz="1" w:space="0" w:color="000000"/>
              <w:right w:val="single" w:sz="1" w:space="0" w:color="000000"/>
            </w:tcBorders>
          </w:tcPr>
          <w:p w14:paraId="75A1C47F" w14:textId="77777777" w:rsidR="000F5C52" w:rsidRPr="008B129E" w:rsidRDefault="000F5C52" w:rsidP="00AF6439">
            <w:pPr>
              <w:pStyle w:val="Contenutotabella"/>
              <w:snapToGrid w:val="0"/>
              <w:jc w:val="center"/>
              <w:rPr>
                <w:b/>
                <w:bCs/>
                <w:sz w:val="22"/>
                <w:szCs w:val="22"/>
              </w:rPr>
            </w:pPr>
          </w:p>
        </w:tc>
      </w:tr>
    </w:tbl>
    <w:p w14:paraId="3881D6F2" w14:textId="77777777" w:rsidR="000F5C52" w:rsidRPr="008B129E" w:rsidRDefault="000F5C52" w:rsidP="000F5C52">
      <w:pPr>
        <w:jc w:val="both"/>
        <w:rPr>
          <w:rFonts w:ascii="Times New Roman" w:hAnsi="Times New Roman"/>
          <w:b/>
          <w:bCs/>
          <w:sz w:val="22"/>
          <w:szCs w:val="22"/>
        </w:rPr>
      </w:pPr>
    </w:p>
    <w:p w14:paraId="681FD049" w14:textId="77777777" w:rsidR="000F5C52" w:rsidRPr="008B129E" w:rsidRDefault="000F5C52" w:rsidP="000F5C52">
      <w:pPr>
        <w:jc w:val="both"/>
        <w:rPr>
          <w:rFonts w:ascii="Times New Roman" w:hAnsi="Times New Roman"/>
          <w:sz w:val="22"/>
          <w:szCs w:val="22"/>
        </w:rPr>
      </w:pPr>
      <w:r w:rsidRPr="008B129E">
        <w:rPr>
          <w:rFonts w:ascii="Times New Roman" w:hAnsi="Times New Roman"/>
          <w:b/>
          <w:bCs/>
          <w:sz w:val="22"/>
          <w:szCs w:val="22"/>
        </w:rPr>
        <w:t>5.Pensionamenti degli anni 2014/2019</w:t>
      </w:r>
    </w:p>
    <w:p w14:paraId="27868093"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Molteplici sono stati i pensionamenti degli ultimi anni, che hanno determinato una progressiva diminuzione del personale dell'Ente. </w:t>
      </w:r>
    </w:p>
    <w:p w14:paraId="6DFF4B23" w14:textId="77777777" w:rsidR="000F5C52" w:rsidRPr="008B129E" w:rsidRDefault="000F5C52" w:rsidP="000F5C52">
      <w:pPr>
        <w:jc w:val="both"/>
        <w:rPr>
          <w:rFonts w:ascii="Times New Roman" w:hAnsi="Times New Roman"/>
          <w:color w:val="FF0000"/>
          <w:sz w:val="22"/>
          <w:szCs w:val="22"/>
        </w:rPr>
      </w:pPr>
      <w:proofErr w:type="gramStart"/>
      <w:r w:rsidRPr="008B129E">
        <w:rPr>
          <w:rFonts w:ascii="Times New Roman" w:hAnsi="Times New Roman"/>
          <w:sz w:val="22"/>
          <w:szCs w:val="22"/>
        </w:rPr>
        <w:t>Il trend</w:t>
      </w:r>
      <w:proofErr w:type="gramEnd"/>
      <w:r w:rsidRPr="008B129E">
        <w:rPr>
          <w:rFonts w:ascii="Times New Roman" w:hAnsi="Times New Roman"/>
          <w:sz w:val="22"/>
          <w:szCs w:val="22"/>
        </w:rPr>
        <w:t xml:space="preserve"> delle figure professionali cessate è quello sotto-descritto:</w:t>
      </w:r>
    </w:p>
    <w:p w14:paraId="75F25F58"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Anno 2014   ---.</w:t>
      </w:r>
    </w:p>
    <w:p w14:paraId="6E40A6E1"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Anno 2015   n. 1 D</w:t>
      </w:r>
    </w:p>
    <w:p w14:paraId="414F05F1"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Anno 2016   n. 2 D, 1 C</w:t>
      </w:r>
    </w:p>
    <w:p w14:paraId="0FA3C04D"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Anno 2017   n. 1 D, 1 C, 2 B </w:t>
      </w:r>
    </w:p>
    <w:p w14:paraId="181503F8"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Anno 2018   n. 2 D, 1 B</w:t>
      </w:r>
    </w:p>
    <w:p w14:paraId="79460B32"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Anno 2019   n. 1 D, 1 C</w:t>
      </w:r>
    </w:p>
    <w:p w14:paraId="0F286FA8" w14:textId="77777777" w:rsidR="000F5C52" w:rsidRPr="008B129E" w:rsidRDefault="000F5C52" w:rsidP="000F5C52">
      <w:pPr>
        <w:jc w:val="both"/>
        <w:rPr>
          <w:rFonts w:ascii="Times New Roman" w:hAnsi="Times New Roman"/>
          <w:sz w:val="22"/>
          <w:szCs w:val="22"/>
        </w:rPr>
      </w:pPr>
    </w:p>
    <w:p w14:paraId="1D50487D" w14:textId="77777777" w:rsidR="000F5C52" w:rsidRPr="008B129E" w:rsidRDefault="000F5C52" w:rsidP="000F5C52">
      <w:pPr>
        <w:jc w:val="both"/>
        <w:rPr>
          <w:rFonts w:ascii="Times New Roman" w:hAnsi="Times New Roman"/>
          <w:b/>
          <w:bCs/>
          <w:sz w:val="22"/>
          <w:szCs w:val="22"/>
        </w:rPr>
      </w:pPr>
      <w:r w:rsidRPr="008B129E">
        <w:rPr>
          <w:rFonts w:ascii="Times New Roman" w:hAnsi="Times New Roman"/>
          <w:b/>
          <w:bCs/>
          <w:sz w:val="22"/>
          <w:szCs w:val="22"/>
        </w:rPr>
        <w:t>6. Cessazioni anni 2020, 2021, 2022, 2023, 2024, 2025 e 2026.</w:t>
      </w:r>
    </w:p>
    <w:p w14:paraId="2BF9AFB0" w14:textId="77777777" w:rsidR="000F5C52" w:rsidRPr="008B129E" w:rsidRDefault="000F5C52" w:rsidP="000F5C52">
      <w:pPr>
        <w:jc w:val="both"/>
        <w:rPr>
          <w:rFonts w:ascii="Times New Roman" w:hAnsi="Times New Roman"/>
          <w:sz w:val="22"/>
          <w:szCs w:val="22"/>
        </w:rPr>
      </w:pPr>
      <w:r w:rsidRPr="008B129E">
        <w:rPr>
          <w:rFonts w:ascii="Times New Roman" w:hAnsi="Times New Roman"/>
          <w:b/>
          <w:bCs/>
          <w:sz w:val="22"/>
          <w:szCs w:val="22"/>
        </w:rPr>
        <w:t>Anno 2020:</w:t>
      </w:r>
    </w:p>
    <w:p w14:paraId="24D5C955" w14:textId="77777777" w:rsidR="000F5C52" w:rsidRPr="008B129E" w:rsidRDefault="000F5C52" w:rsidP="000F5C52">
      <w:pPr>
        <w:jc w:val="both"/>
        <w:rPr>
          <w:rFonts w:ascii="Times New Roman" w:hAnsi="Times New Roman"/>
          <w:b/>
          <w:bCs/>
          <w:sz w:val="22"/>
          <w:szCs w:val="22"/>
        </w:rPr>
      </w:pPr>
      <w:r w:rsidRPr="008B129E">
        <w:rPr>
          <w:rFonts w:ascii="Times New Roman" w:hAnsi="Times New Roman"/>
          <w:sz w:val="22"/>
          <w:szCs w:val="22"/>
        </w:rPr>
        <w:t xml:space="preserve">Nel 2020 sono andati in pensione n.2 dipendenti di </w:t>
      </w:r>
      <w:proofErr w:type="spellStart"/>
      <w:r w:rsidRPr="008B129E">
        <w:rPr>
          <w:rFonts w:ascii="Times New Roman" w:hAnsi="Times New Roman"/>
          <w:sz w:val="22"/>
          <w:szCs w:val="22"/>
        </w:rPr>
        <w:t>Cat</w:t>
      </w:r>
      <w:proofErr w:type="spellEnd"/>
      <w:r w:rsidRPr="008B129E">
        <w:rPr>
          <w:rFonts w:ascii="Times New Roman" w:hAnsi="Times New Roman"/>
          <w:sz w:val="22"/>
          <w:szCs w:val="22"/>
        </w:rPr>
        <w:t xml:space="preserve">. B1, n. 1 dipendente di </w:t>
      </w:r>
      <w:proofErr w:type="spellStart"/>
      <w:r w:rsidRPr="008B129E">
        <w:rPr>
          <w:rFonts w:ascii="Times New Roman" w:hAnsi="Times New Roman"/>
          <w:sz w:val="22"/>
          <w:szCs w:val="22"/>
        </w:rPr>
        <w:t>Cat</w:t>
      </w:r>
      <w:proofErr w:type="spellEnd"/>
      <w:r w:rsidRPr="008B129E">
        <w:rPr>
          <w:rFonts w:ascii="Times New Roman" w:hAnsi="Times New Roman"/>
          <w:sz w:val="22"/>
          <w:szCs w:val="22"/>
        </w:rPr>
        <w:t xml:space="preserve">. B3 e n. 2 Dipendente di </w:t>
      </w:r>
      <w:proofErr w:type="spellStart"/>
      <w:r w:rsidRPr="008B129E">
        <w:rPr>
          <w:rFonts w:ascii="Times New Roman" w:hAnsi="Times New Roman"/>
          <w:sz w:val="22"/>
          <w:szCs w:val="22"/>
        </w:rPr>
        <w:t>Cat</w:t>
      </w:r>
      <w:proofErr w:type="spellEnd"/>
      <w:r w:rsidRPr="008B129E">
        <w:rPr>
          <w:rFonts w:ascii="Times New Roman" w:hAnsi="Times New Roman"/>
          <w:sz w:val="22"/>
          <w:szCs w:val="22"/>
        </w:rPr>
        <w:t xml:space="preserve">. C di vigilanza, 1 dipendente di </w:t>
      </w:r>
      <w:proofErr w:type="spellStart"/>
      <w:r w:rsidRPr="008B129E">
        <w:rPr>
          <w:rFonts w:ascii="Times New Roman" w:hAnsi="Times New Roman"/>
          <w:sz w:val="22"/>
          <w:szCs w:val="22"/>
        </w:rPr>
        <w:t>Cat</w:t>
      </w:r>
      <w:proofErr w:type="spellEnd"/>
      <w:r w:rsidRPr="008B129E">
        <w:rPr>
          <w:rFonts w:ascii="Times New Roman" w:hAnsi="Times New Roman"/>
          <w:sz w:val="22"/>
          <w:szCs w:val="22"/>
        </w:rPr>
        <w:t>. D1 con un risparmio di spesa di personale a regime di € 192.906,71, che ha concorso a determinare la capacità assunzionale dell'anno 2021.</w:t>
      </w:r>
    </w:p>
    <w:p w14:paraId="389985EA" w14:textId="77777777" w:rsidR="000F5C52" w:rsidRPr="008B129E" w:rsidRDefault="000F5C52" w:rsidP="000F5C52">
      <w:pPr>
        <w:jc w:val="both"/>
        <w:rPr>
          <w:rFonts w:ascii="Times New Roman" w:hAnsi="Times New Roman"/>
          <w:b/>
          <w:bCs/>
          <w:sz w:val="22"/>
          <w:szCs w:val="22"/>
        </w:rPr>
      </w:pPr>
    </w:p>
    <w:p w14:paraId="74B33926" w14:textId="77777777" w:rsidR="000F5C52" w:rsidRPr="008B129E" w:rsidRDefault="000F5C52" w:rsidP="000F5C52">
      <w:pPr>
        <w:jc w:val="both"/>
        <w:rPr>
          <w:rFonts w:ascii="Times New Roman" w:hAnsi="Times New Roman"/>
          <w:sz w:val="22"/>
          <w:szCs w:val="22"/>
        </w:rPr>
      </w:pPr>
      <w:r w:rsidRPr="008B129E">
        <w:rPr>
          <w:rFonts w:ascii="Times New Roman" w:hAnsi="Times New Roman"/>
          <w:b/>
          <w:bCs/>
          <w:sz w:val="22"/>
          <w:szCs w:val="22"/>
        </w:rPr>
        <w:t>Anno 2021</w:t>
      </w:r>
      <w:r w:rsidRPr="008B129E">
        <w:rPr>
          <w:rFonts w:ascii="Times New Roman" w:hAnsi="Times New Roman"/>
          <w:sz w:val="22"/>
          <w:szCs w:val="22"/>
        </w:rPr>
        <w:t xml:space="preserve">: Nel 2021 sono andati in pensione n. 1 dipendenti di </w:t>
      </w:r>
      <w:proofErr w:type="spellStart"/>
      <w:r w:rsidRPr="008B129E">
        <w:rPr>
          <w:rFonts w:ascii="Times New Roman" w:hAnsi="Times New Roman"/>
          <w:sz w:val="22"/>
          <w:szCs w:val="22"/>
        </w:rPr>
        <w:t>Cat</w:t>
      </w:r>
      <w:proofErr w:type="spellEnd"/>
      <w:r w:rsidRPr="008B129E">
        <w:rPr>
          <w:rFonts w:ascii="Times New Roman" w:hAnsi="Times New Roman"/>
          <w:sz w:val="22"/>
          <w:szCs w:val="22"/>
        </w:rPr>
        <w:t xml:space="preserve">. B1, n. 1 dipendenti di </w:t>
      </w:r>
      <w:proofErr w:type="spellStart"/>
      <w:r w:rsidRPr="008B129E">
        <w:rPr>
          <w:rFonts w:ascii="Times New Roman" w:hAnsi="Times New Roman"/>
          <w:sz w:val="22"/>
          <w:szCs w:val="22"/>
        </w:rPr>
        <w:t>Cat</w:t>
      </w:r>
      <w:proofErr w:type="spellEnd"/>
      <w:r w:rsidRPr="008B129E">
        <w:rPr>
          <w:rFonts w:ascii="Times New Roman" w:hAnsi="Times New Roman"/>
          <w:sz w:val="22"/>
          <w:szCs w:val="22"/>
        </w:rPr>
        <w:t xml:space="preserve">. C1 con un risparmio di spesa di personale a regime di € 61.698,04 che ha concorso a determinare la capacità assunzionale dell'anno 2022. </w:t>
      </w:r>
    </w:p>
    <w:p w14:paraId="1AA44A2A" w14:textId="77777777" w:rsidR="000F5C52" w:rsidRPr="008B129E" w:rsidRDefault="000F5C52" w:rsidP="000F5C52">
      <w:pPr>
        <w:jc w:val="both"/>
        <w:rPr>
          <w:rFonts w:ascii="Times New Roman" w:hAnsi="Times New Roman"/>
          <w:sz w:val="22"/>
          <w:szCs w:val="22"/>
        </w:rPr>
      </w:pPr>
    </w:p>
    <w:p w14:paraId="2BBDDB57" w14:textId="77777777" w:rsidR="000F5C52" w:rsidRPr="008B129E" w:rsidRDefault="000F5C52" w:rsidP="000F5C52">
      <w:pPr>
        <w:jc w:val="both"/>
        <w:rPr>
          <w:rFonts w:ascii="Times New Roman" w:hAnsi="Times New Roman"/>
          <w:b/>
          <w:bCs/>
          <w:sz w:val="22"/>
          <w:szCs w:val="22"/>
        </w:rPr>
      </w:pPr>
      <w:r w:rsidRPr="008B129E">
        <w:rPr>
          <w:rFonts w:ascii="Times New Roman" w:hAnsi="Times New Roman"/>
          <w:b/>
          <w:bCs/>
          <w:sz w:val="22"/>
          <w:szCs w:val="22"/>
        </w:rPr>
        <w:t>Anno 2022:</w:t>
      </w:r>
      <w:r w:rsidRPr="008B129E">
        <w:rPr>
          <w:rFonts w:ascii="Times New Roman" w:hAnsi="Times New Roman"/>
          <w:sz w:val="22"/>
          <w:szCs w:val="22"/>
        </w:rPr>
        <w:t xml:space="preserve"> Per l’anno 2022 sono andati in pensione tre dipendenti di </w:t>
      </w:r>
      <w:proofErr w:type="spellStart"/>
      <w:r w:rsidRPr="008B129E">
        <w:rPr>
          <w:rFonts w:ascii="Times New Roman" w:hAnsi="Times New Roman"/>
          <w:sz w:val="22"/>
          <w:szCs w:val="22"/>
        </w:rPr>
        <w:t>Cat</w:t>
      </w:r>
      <w:proofErr w:type="spellEnd"/>
      <w:r w:rsidRPr="008B129E">
        <w:rPr>
          <w:rFonts w:ascii="Times New Roman" w:hAnsi="Times New Roman"/>
          <w:sz w:val="22"/>
          <w:szCs w:val="22"/>
        </w:rPr>
        <w:t xml:space="preserve">. B1, e uno di </w:t>
      </w:r>
      <w:proofErr w:type="spellStart"/>
      <w:r w:rsidRPr="008B129E">
        <w:rPr>
          <w:rFonts w:ascii="Times New Roman" w:hAnsi="Times New Roman"/>
          <w:sz w:val="22"/>
          <w:szCs w:val="22"/>
        </w:rPr>
        <w:t>Cat</w:t>
      </w:r>
      <w:proofErr w:type="spellEnd"/>
      <w:r w:rsidRPr="008B129E">
        <w:rPr>
          <w:rFonts w:ascii="Times New Roman" w:hAnsi="Times New Roman"/>
          <w:sz w:val="22"/>
          <w:szCs w:val="22"/>
        </w:rPr>
        <w:t>. B3, ed è cessato dal servizio una unità di categoria C1, con un risparmio di spesa a regime di € 150.473,44</w:t>
      </w:r>
      <w:r w:rsidRPr="008B129E">
        <w:rPr>
          <w:rFonts w:ascii="Times New Roman" w:hAnsi="Times New Roman"/>
          <w:color w:val="FF0000"/>
          <w:sz w:val="22"/>
          <w:szCs w:val="22"/>
        </w:rPr>
        <w:t xml:space="preserve"> </w:t>
      </w:r>
      <w:r w:rsidRPr="008B129E">
        <w:rPr>
          <w:rFonts w:ascii="Times New Roman" w:hAnsi="Times New Roman"/>
          <w:sz w:val="22"/>
          <w:szCs w:val="22"/>
        </w:rPr>
        <w:t>che ha concorso a determinare la capacità assunzionale dell'anno 2023</w:t>
      </w:r>
      <w:r w:rsidRPr="008B129E">
        <w:rPr>
          <w:rFonts w:ascii="Times New Roman" w:hAnsi="Times New Roman"/>
          <w:color w:val="FF0000"/>
          <w:sz w:val="22"/>
          <w:szCs w:val="22"/>
        </w:rPr>
        <w:t>.</w:t>
      </w:r>
    </w:p>
    <w:p w14:paraId="2D946748" w14:textId="77777777" w:rsidR="000F5C52" w:rsidRPr="008B129E" w:rsidRDefault="000F5C52" w:rsidP="000F5C52">
      <w:pPr>
        <w:jc w:val="both"/>
        <w:rPr>
          <w:rFonts w:ascii="Times New Roman" w:hAnsi="Times New Roman"/>
          <w:b/>
          <w:bCs/>
          <w:sz w:val="22"/>
          <w:szCs w:val="22"/>
        </w:rPr>
      </w:pPr>
    </w:p>
    <w:p w14:paraId="314B045B" w14:textId="77777777" w:rsidR="000F5C52" w:rsidRPr="008B129E" w:rsidRDefault="000F5C52" w:rsidP="000F5C52">
      <w:pPr>
        <w:jc w:val="both"/>
        <w:rPr>
          <w:rFonts w:ascii="Times New Roman" w:hAnsi="Times New Roman"/>
          <w:b/>
          <w:bCs/>
          <w:sz w:val="22"/>
          <w:szCs w:val="22"/>
        </w:rPr>
      </w:pPr>
      <w:r w:rsidRPr="008B129E">
        <w:rPr>
          <w:rFonts w:ascii="Times New Roman" w:hAnsi="Times New Roman"/>
          <w:b/>
          <w:bCs/>
          <w:sz w:val="22"/>
          <w:szCs w:val="22"/>
        </w:rPr>
        <w:t xml:space="preserve">Anno 2023: </w:t>
      </w:r>
      <w:r w:rsidRPr="008B129E">
        <w:rPr>
          <w:rFonts w:ascii="Times New Roman" w:hAnsi="Times New Roman"/>
          <w:sz w:val="22"/>
          <w:szCs w:val="22"/>
        </w:rPr>
        <w:t xml:space="preserve">Nell’anno 2023 sono andati in pensione un dipendente di </w:t>
      </w:r>
      <w:proofErr w:type="spellStart"/>
      <w:r w:rsidRPr="008B129E">
        <w:rPr>
          <w:rFonts w:ascii="Times New Roman" w:hAnsi="Times New Roman"/>
          <w:sz w:val="22"/>
          <w:szCs w:val="22"/>
        </w:rPr>
        <w:t>Cat</w:t>
      </w:r>
      <w:proofErr w:type="spellEnd"/>
      <w:r w:rsidRPr="008B129E">
        <w:rPr>
          <w:rFonts w:ascii="Times New Roman" w:hAnsi="Times New Roman"/>
          <w:sz w:val="22"/>
          <w:szCs w:val="22"/>
        </w:rPr>
        <w:t xml:space="preserve">. B1, e un dipendente di </w:t>
      </w:r>
      <w:proofErr w:type="spellStart"/>
      <w:r w:rsidRPr="008B129E">
        <w:rPr>
          <w:rFonts w:ascii="Times New Roman" w:hAnsi="Times New Roman"/>
          <w:sz w:val="22"/>
          <w:szCs w:val="22"/>
        </w:rPr>
        <w:t>Cat</w:t>
      </w:r>
      <w:proofErr w:type="spellEnd"/>
      <w:r w:rsidRPr="008B129E">
        <w:rPr>
          <w:rFonts w:ascii="Times New Roman" w:hAnsi="Times New Roman"/>
          <w:sz w:val="22"/>
          <w:szCs w:val="22"/>
        </w:rPr>
        <w:t>. C1, con un risparmio di spesa a regime di € 61.698,04 che concorre a determinare la capacità assunzionale dell'anno 2024.</w:t>
      </w:r>
    </w:p>
    <w:p w14:paraId="25F2F0AD" w14:textId="77777777" w:rsidR="000F5C52" w:rsidRPr="008B129E" w:rsidRDefault="000F5C52" w:rsidP="000F5C52">
      <w:pPr>
        <w:jc w:val="both"/>
        <w:rPr>
          <w:rFonts w:ascii="Times New Roman" w:hAnsi="Times New Roman"/>
          <w:b/>
          <w:bCs/>
          <w:sz w:val="22"/>
          <w:szCs w:val="22"/>
        </w:rPr>
      </w:pPr>
    </w:p>
    <w:p w14:paraId="7407D99D" w14:textId="77777777" w:rsidR="000F5C52" w:rsidRPr="008B129E" w:rsidRDefault="000F5C52" w:rsidP="000F5C52">
      <w:pPr>
        <w:jc w:val="both"/>
        <w:rPr>
          <w:rFonts w:ascii="Times New Roman" w:hAnsi="Times New Roman"/>
          <w:sz w:val="22"/>
          <w:szCs w:val="22"/>
        </w:rPr>
      </w:pPr>
      <w:r w:rsidRPr="008B129E">
        <w:rPr>
          <w:rFonts w:ascii="Times New Roman" w:hAnsi="Times New Roman"/>
          <w:b/>
          <w:bCs/>
          <w:sz w:val="22"/>
          <w:szCs w:val="22"/>
        </w:rPr>
        <w:t>Anno 2024:</w:t>
      </w:r>
      <w:r w:rsidRPr="008B129E">
        <w:rPr>
          <w:rFonts w:ascii="Times New Roman" w:hAnsi="Times New Roman"/>
          <w:sz w:val="22"/>
          <w:szCs w:val="22"/>
        </w:rPr>
        <w:t xml:space="preserve"> Nell’anno 2024 sono cessati dal servizio un dipendente di categoria D/3 per mobilità in uscita, un dipendente di </w:t>
      </w:r>
      <w:proofErr w:type="spellStart"/>
      <w:r w:rsidRPr="008B129E">
        <w:rPr>
          <w:rFonts w:ascii="Times New Roman" w:hAnsi="Times New Roman"/>
          <w:sz w:val="22"/>
          <w:szCs w:val="22"/>
        </w:rPr>
        <w:t>cat</w:t>
      </w:r>
      <w:proofErr w:type="spellEnd"/>
      <w:r w:rsidRPr="008B129E">
        <w:rPr>
          <w:rFonts w:ascii="Times New Roman" w:hAnsi="Times New Roman"/>
          <w:sz w:val="22"/>
          <w:szCs w:val="22"/>
        </w:rPr>
        <w:t xml:space="preserve">. C (amministrativo) per dimissioni e sono andati in pensione un dipendente di </w:t>
      </w:r>
      <w:proofErr w:type="spellStart"/>
      <w:r w:rsidRPr="008B129E">
        <w:rPr>
          <w:rFonts w:ascii="Times New Roman" w:hAnsi="Times New Roman"/>
          <w:sz w:val="22"/>
          <w:szCs w:val="22"/>
        </w:rPr>
        <w:t>Cat</w:t>
      </w:r>
      <w:proofErr w:type="spellEnd"/>
      <w:r w:rsidRPr="008B129E">
        <w:rPr>
          <w:rFonts w:ascii="Times New Roman" w:hAnsi="Times New Roman"/>
          <w:sz w:val="22"/>
          <w:szCs w:val="22"/>
        </w:rPr>
        <w:t xml:space="preserve">. C </w:t>
      </w:r>
      <w:r w:rsidRPr="008B129E">
        <w:rPr>
          <w:rFonts w:ascii="Times New Roman" w:hAnsi="Times New Roman"/>
          <w:sz w:val="22"/>
          <w:szCs w:val="22"/>
        </w:rPr>
        <w:lastRenderedPageBreak/>
        <w:t xml:space="preserve">(vigilanza) e uno di </w:t>
      </w:r>
      <w:proofErr w:type="spellStart"/>
      <w:r w:rsidRPr="008B129E">
        <w:rPr>
          <w:rFonts w:ascii="Times New Roman" w:hAnsi="Times New Roman"/>
          <w:sz w:val="22"/>
          <w:szCs w:val="22"/>
        </w:rPr>
        <w:t>Cat</w:t>
      </w:r>
      <w:proofErr w:type="spellEnd"/>
      <w:r w:rsidRPr="008B129E">
        <w:rPr>
          <w:rFonts w:ascii="Times New Roman" w:hAnsi="Times New Roman"/>
          <w:sz w:val="22"/>
          <w:szCs w:val="22"/>
        </w:rPr>
        <w:t>. B1 con un risparmio di spesa a regime di € 136.535,24 che concorre a determinare la capacità assunzionale dell'anno 2025.</w:t>
      </w:r>
    </w:p>
    <w:p w14:paraId="6C3441C9" w14:textId="77777777" w:rsidR="000F5C52" w:rsidRPr="008B129E" w:rsidRDefault="000F5C52" w:rsidP="000F5C52">
      <w:pPr>
        <w:jc w:val="both"/>
        <w:rPr>
          <w:rFonts w:ascii="Times New Roman" w:hAnsi="Times New Roman"/>
          <w:sz w:val="22"/>
          <w:szCs w:val="22"/>
        </w:rPr>
      </w:pPr>
    </w:p>
    <w:p w14:paraId="2BCCAFA3" w14:textId="77777777" w:rsidR="000F5C52" w:rsidRPr="008B129E" w:rsidRDefault="000F5C52" w:rsidP="000F5C52">
      <w:pPr>
        <w:jc w:val="both"/>
        <w:rPr>
          <w:rFonts w:ascii="Times New Roman" w:hAnsi="Times New Roman"/>
          <w:sz w:val="22"/>
          <w:szCs w:val="22"/>
        </w:rPr>
      </w:pPr>
      <w:r w:rsidRPr="008B129E">
        <w:rPr>
          <w:rFonts w:ascii="Times New Roman" w:hAnsi="Times New Roman"/>
          <w:b/>
          <w:bCs/>
          <w:sz w:val="22"/>
          <w:szCs w:val="22"/>
        </w:rPr>
        <w:t>Anno 2025</w:t>
      </w:r>
      <w:r w:rsidRPr="008B129E">
        <w:rPr>
          <w:rFonts w:ascii="Times New Roman" w:hAnsi="Times New Roman"/>
          <w:sz w:val="22"/>
          <w:szCs w:val="22"/>
        </w:rPr>
        <w:t xml:space="preserve">: Nell’anno 2025 andranno in pensione due unità di </w:t>
      </w:r>
      <w:proofErr w:type="spellStart"/>
      <w:r w:rsidRPr="008B129E">
        <w:rPr>
          <w:rFonts w:ascii="Times New Roman" w:hAnsi="Times New Roman"/>
          <w:sz w:val="22"/>
          <w:szCs w:val="22"/>
        </w:rPr>
        <w:t>cat</w:t>
      </w:r>
      <w:proofErr w:type="spellEnd"/>
      <w:r w:rsidRPr="008B129E">
        <w:rPr>
          <w:rFonts w:ascii="Times New Roman" w:hAnsi="Times New Roman"/>
          <w:sz w:val="22"/>
          <w:szCs w:val="22"/>
        </w:rPr>
        <w:t>. C1 (una di vigilanza ed una contabile) con un risparmio di spesa a regime di € 66.978,88 che concorre a determinare la capacità assunzionale dell'anno 2026.</w:t>
      </w:r>
    </w:p>
    <w:p w14:paraId="667ABE2E" w14:textId="77777777" w:rsidR="000F5C52" w:rsidRPr="008B129E" w:rsidRDefault="000F5C52" w:rsidP="000F5C52">
      <w:pPr>
        <w:jc w:val="both"/>
        <w:rPr>
          <w:rFonts w:ascii="Times New Roman" w:hAnsi="Times New Roman"/>
          <w:sz w:val="22"/>
          <w:szCs w:val="22"/>
        </w:rPr>
      </w:pPr>
    </w:p>
    <w:p w14:paraId="0DDECCDF" w14:textId="77777777" w:rsidR="000F5C52" w:rsidRPr="008B129E" w:rsidRDefault="000F5C52" w:rsidP="000F5C52">
      <w:pPr>
        <w:jc w:val="both"/>
        <w:rPr>
          <w:rFonts w:ascii="Times New Roman" w:hAnsi="Times New Roman"/>
          <w:sz w:val="22"/>
          <w:szCs w:val="22"/>
        </w:rPr>
      </w:pPr>
      <w:r w:rsidRPr="008B129E">
        <w:rPr>
          <w:rFonts w:ascii="Times New Roman" w:hAnsi="Times New Roman"/>
          <w:b/>
          <w:bCs/>
          <w:sz w:val="22"/>
          <w:szCs w:val="22"/>
        </w:rPr>
        <w:t>Anno 2026</w:t>
      </w:r>
      <w:r w:rsidRPr="008B129E">
        <w:rPr>
          <w:rFonts w:ascii="Times New Roman" w:hAnsi="Times New Roman"/>
          <w:sz w:val="22"/>
          <w:szCs w:val="22"/>
        </w:rPr>
        <w:t xml:space="preserve">: Nell’anno 2026 andrà in pensione una unità di </w:t>
      </w:r>
      <w:proofErr w:type="spellStart"/>
      <w:r w:rsidRPr="008B129E">
        <w:rPr>
          <w:rFonts w:ascii="Times New Roman" w:hAnsi="Times New Roman"/>
          <w:sz w:val="22"/>
          <w:szCs w:val="22"/>
        </w:rPr>
        <w:t>cat</w:t>
      </w:r>
      <w:proofErr w:type="spellEnd"/>
      <w:r w:rsidRPr="008B129E">
        <w:rPr>
          <w:rFonts w:ascii="Times New Roman" w:hAnsi="Times New Roman"/>
          <w:sz w:val="22"/>
          <w:szCs w:val="22"/>
        </w:rPr>
        <w:t>. C1 (amministrativa) con un risparmio di spesa a regime di € 32.603,42 che concorre a determinare la capacità assunzionale dell'anno 2027</w:t>
      </w:r>
    </w:p>
    <w:p w14:paraId="3766388A" w14:textId="77777777" w:rsidR="000F5C52" w:rsidRPr="008B129E" w:rsidRDefault="000F5C52" w:rsidP="000F5C52">
      <w:pPr>
        <w:jc w:val="both"/>
        <w:rPr>
          <w:rFonts w:ascii="Times New Roman" w:hAnsi="Times New Roman"/>
          <w:b/>
          <w:bCs/>
          <w:sz w:val="22"/>
          <w:szCs w:val="22"/>
        </w:rPr>
      </w:pPr>
    </w:p>
    <w:p w14:paraId="6793E271" w14:textId="77777777" w:rsidR="000F5C52" w:rsidRPr="008B129E" w:rsidRDefault="000F5C52" w:rsidP="000F5C52">
      <w:pPr>
        <w:jc w:val="both"/>
        <w:rPr>
          <w:rFonts w:ascii="Times New Roman" w:hAnsi="Times New Roman"/>
          <w:sz w:val="22"/>
          <w:szCs w:val="22"/>
        </w:rPr>
      </w:pPr>
      <w:r w:rsidRPr="008B129E">
        <w:rPr>
          <w:rFonts w:ascii="Times New Roman" w:hAnsi="Times New Roman"/>
          <w:b/>
          <w:bCs/>
          <w:sz w:val="22"/>
          <w:szCs w:val="22"/>
        </w:rPr>
        <w:t>7.Assunzioni flessibili</w:t>
      </w:r>
    </w:p>
    <w:p w14:paraId="2F6300DD"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Ai sensi del </w:t>
      </w:r>
      <w:proofErr w:type="spellStart"/>
      <w:r w:rsidRPr="008B129E">
        <w:rPr>
          <w:rFonts w:ascii="Times New Roman" w:hAnsi="Times New Roman"/>
          <w:sz w:val="22"/>
          <w:szCs w:val="22"/>
        </w:rPr>
        <w:t>D.L.n</w:t>
      </w:r>
      <w:proofErr w:type="spellEnd"/>
      <w:r w:rsidRPr="008B129E">
        <w:rPr>
          <w:rFonts w:ascii="Times New Roman" w:hAnsi="Times New Roman"/>
          <w:sz w:val="22"/>
          <w:szCs w:val="22"/>
        </w:rPr>
        <w:t>. 90/2014 e dell'art. 9 comma 28 D.L.78/2010 gli enti possono avvalersi di personale a tempo determinato o con convenzioni o con contratti co.co.co. nel limite di spesa sostenuta per le stesse finalità nell'anno 2009, che in questo Ente è pari ad € 23.533,47.</w:t>
      </w:r>
    </w:p>
    <w:p w14:paraId="0424E2C6"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Sulla base delle previsioni di cui all'art. 36 del </w:t>
      </w:r>
      <w:proofErr w:type="spellStart"/>
      <w:r w:rsidRPr="008B129E">
        <w:rPr>
          <w:rFonts w:ascii="Times New Roman" w:hAnsi="Times New Roman"/>
          <w:sz w:val="22"/>
          <w:szCs w:val="22"/>
        </w:rPr>
        <w:t>D.Lgs.n</w:t>
      </w:r>
      <w:proofErr w:type="spellEnd"/>
      <w:r w:rsidRPr="008B129E">
        <w:rPr>
          <w:rFonts w:ascii="Times New Roman" w:hAnsi="Times New Roman"/>
          <w:sz w:val="22"/>
          <w:szCs w:val="22"/>
        </w:rPr>
        <w:t xml:space="preserve">. 165/2001 e della L. 125/2015 le assunzioni flessibili devono essere limitate solamente alla necessità di fare fronte ad esigenze di carattere straordinario e limitato nel tempo. </w:t>
      </w:r>
    </w:p>
    <w:p w14:paraId="161C7A28" w14:textId="38162465"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Nel corso del 2025 l’Amministrazione Comunale </w:t>
      </w:r>
      <w:r w:rsidR="008E416A" w:rsidRPr="008B129E">
        <w:rPr>
          <w:rFonts w:ascii="Times New Roman" w:hAnsi="Times New Roman"/>
          <w:sz w:val="22"/>
          <w:szCs w:val="22"/>
        </w:rPr>
        <w:t xml:space="preserve">ha </w:t>
      </w:r>
      <w:r w:rsidRPr="008B129E">
        <w:rPr>
          <w:rFonts w:ascii="Times New Roman" w:hAnsi="Times New Roman"/>
          <w:sz w:val="22"/>
          <w:szCs w:val="22"/>
        </w:rPr>
        <w:t>inte</w:t>
      </w:r>
      <w:r w:rsidR="008E416A" w:rsidRPr="008B129E">
        <w:rPr>
          <w:rFonts w:ascii="Times New Roman" w:hAnsi="Times New Roman"/>
          <w:sz w:val="22"/>
          <w:szCs w:val="22"/>
        </w:rPr>
        <w:t>so</w:t>
      </w:r>
      <w:r w:rsidRPr="008B129E">
        <w:rPr>
          <w:rFonts w:ascii="Times New Roman" w:hAnsi="Times New Roman"/>
          <w:sz w:val="22"/>
          <w:szCs w:val="22"/>
        </w:rPr>
        <w:t xml:space="preserve"> autorizzare </w:t>
      </w:r>
      <w:r w:rsidRPr="001B6244">
        <w:rPr>
          <w:rFonts w:ascii="Times New Roman" w:hAnsi="Times New Roman"/>
          <w:sz w:val="22"/>
          <w:szCs w:val="22"/>
        </w:rPr>
        <w:t>(</w:t>
      </w:r>
      <w:proofErr w:type="spellStart"/>
      <w:r w:rsidRPr="001B6244">
        <w:rPr>
          <w:rFonts w:ascii="Times New Roman" w:hAnsi="Times New Roman"/>
          <w:sz w:val="22"/>
          <w:szCs w:val="22"/>
        </w:rPr>
        <w:t>cfr</w:t>
      </w:r>
      <w:proofErr w:type="spellEnd"/>
      <w:r w:rsidRPr="001B6244">
        <w:rPr>
          <w:rFonts w:ascii="Times New Roman" w:hAnsi="Times New Roman"/>
          <w:sz w:val="22"/>
          <w:szCs w:val="22"/>
        </w:rPr>
        <w:t xml:space="preserve"> delibera di Giunta Comunale n. 4 del 24 gennaio 2025)</w:t>
      </w:r>
      <w:r w:rsidRPr="008B129E">
        <w:rPr>
          <w:rFonts w:ascii="Times New Roman" w:hAnsi="Times New Roman"/>
          <w:sz w:val="22"/>
          <w:szCs w:val="22"/>
        </w:rPr>
        <w:t>:</w:t>
      </w:r>
    </w:p>
    <w:p w14:paraId="5D871B29" w14:textId="77777777" w:rsidR="000F5C52" w:rsidRPr="008B129E" w:rsidRDefault="000F5C52" w:rsidP="000F5C52">
      <w:pPr>
        <w:pStyle w:val="Standard"/>
        <w:numPr>
          <w:ilvl w:val="0"/>
          <w:numId w:val="1"/>
        </w:numPr>
        <w:suppressAutoHyphens w:val="0"/>
        <w:ind w:left="426" w:hanging="426"/>
        <w:jc w:val="both"/>
        <w:rPr>
          <w:rFonts w:eastAsia="Calibri"/>
          <w:kern w:val="0"/>
          <w:sz w:val="22"/>
          <w:szCs w:val="22"/>
        </w:rPr>
      </w:pPr>
      <w:bookmarkStart w:id="1" w:name="_Hlk212200764"/>
      <w:r w:rsidRPr="008B129E">
        <w:rPr>
          <w:rFonts w:eastAsia="Calibri"/>
          <w:kern w:val="0"/>
          <w:sz w:val="22"/>
          <w:szCs w:val="22"/>
        </w:rPr>
        <w:t xml:space="preserve">l’assunzione di una unità di istruttore amministrativo, addetto all’ufficio di staff, a tempo determinato con decorrenza dal </w:t>
      </w:r>
      <w:proofErr w:type="gramStart"/>
      <w:r w:rsidRPr="008B129E">
        <w:rPr>
          <w:rFonts w:eastAsia="Calibri"/>
          <w:kern w:val="0"/>
          <w:sz w:val="22"/>
          <w:szCs w:val="22"/>
        </w:rPr>
        <w:t>1 marzo</w:t>
      </w:r>
      <w:proofErr w:type="gramEnd"/>
      <w:r w:rsidRPr="008B129E">
        <w:rPr>
          <w:rFonts w:eastAsia="Calibri"/>
          <w:kern w:val="0"/>
          <w:sz w:val="22"/>
          <w:szCs w:val="22"/>
        </w:rPr>
        <w:t xml:space="preserve"> 2025 per la durata del mandato amministrativo del Sindaco, e part time di 24 ore settimanali;</w:t>
      </w:r>
    </w:p>
    <w:p w14:paraId="2329CA70" w14:textId="77777777" w:rsidR="000F5C52" w:rsidRPr="008B129E" w:rsidRDefault="000F5C52" w:rsidP="000F5C52">
      <w:pPr>
        <w:pStyle w:val="Standard"/>
        <w:numPr>
          <w:ilvl w:val="0"/>
          <w:numId w:val="1"/>
        </w:numPr>
        <w:suppressAutoHyphens w:val="0"/>
        <w:ind w:left="426" w:hanging="426"/>
        <w:jc w:val="both"/>
        <w:rPr>
          <w:rFonts w:eastAsia="Calibri"/>
          <w:kern w:val="0"/>
          <w:sz w:val="22"/>
          <w:szCs w:val="22"/>
        </w:rPr>
      </w:pPr>
      <w:r w:rsidRPr="008B129E">
        <w:rPr>
          <w:rFonts w:eastAsia="Calibri"/>
          <w:kern w:val="0"/>
          <w:sz w:val="22"/>
          <w:szCs w:val="22"/>
        </w:rPr>
        <w:t xml:space="preserve">la prosecuzione del contratto di lavoro in essere (il cui rapporto orario risulta incrementato a 36 ore settimanali a far data </w:t>
      </w:r>
      <w:proofErr w:type="gramStart"/>
      <w:r w:rsidRPr="008B129E">
        <w:rPr>
          <w:rFonts w:eastAsia="Calibri"/>
          <w:kern w:val="0"/>
          <w:sz w:val="22"/>
          <w:szCs w:val="22"/>
        </w:rPr>
        <w:t>dall’1 settembre</w:t>
      </w:r>
      <w:proofErr w:type="gramEnd"/>
      <w:r w:rsidRPr="008B129E">
        <w:rPr>
          <w:rFonts w:eastAsia="Calibri"/>
          <w:kern w:val="0"/>
          <w:sz w:val="22"/>
          <w:szCs w:val="22"/>
        </w:rPr>
        <w:t xml:space="preserve"> 2023) con le due unità aventi il profilo professionale di Istruttore Direttivo Ingegnere (oggi funzionario tecnico - EQ) fino al 31 dicembre 2026, ai sensi dall’art. 31bis, co. 1, del decreto legge 6 novembre 2021, n. 152, convertito in legge 29 dicembre 2021, n. 233, </w:t>
      </w:r>
      <w:r w:rsidRPr="008B129E">
        <w:rPr>
          <w:rFonts w:eastAsia="Calibri"/>
          <w:kern w:val="0"/>
          <w:sz w:val="22"/>
          <w:szCs w:val="22"/>
          <w:u w:val="single"/>
        </w:rPr>
        <w:t xml:space="preserve">la cui spesa non rileva ai fini dell'articolo 33 del </w:t>
      </w:r>
      <w:hyperlink r:id="rId8" w:history="1">
        <w:r w:rsidRPr="008B129E">
          <w:rPr>
            <w:rFonts w:eastAsia="Calibri"/>
            <w:kern w:val="0"/>
            <w:sz w:val="22"/>
            <w:szCs w:val="22"/>
            <w:u w:val="single"/>
          </w:rPr>
          <w:t>decreto-legge 30 aprile 2019, n. 34,</w:t>
        </w:r>
      </w:hyperlink>
      <w:r w:rsidRPr="008B129E">
        <w:rPr>
          <w:rFonts w:eastAsia="Calibri"/>
          <w:kern w:val="0"/>
          <w:sz w:val="22"/>
          <w:szCs w:val="22"/>
          <w:u w:val="single"/>
        </w:rPr>
        <w:t xml:space="preserve"> convertito, con modificazioni, dalla </w:t>
      </w:r>
      <w:hyperlink r:id="rId9" w:history="1">
        <w:r w:rsidRPr="008B129E">
          <w:rPr>
            <w:rFonts w:eastAsia="Calibri"/>
            <w:kern w:val="0"/>
            <w:sz w:val="22"/>
            <w:szCs w:val="22"/>
            <w:u w:val="single"/>
          </w:rPr>
          <w:t>legge 28 giugno 2019, n. 58,</w:t>
        </w:r>
      </w:hyperlink>
      <w:r w:rsidRPr="008B129E">
        <w:rPr>
          <w:rFonts w:eastAsia="Calibri"/>
          <w:kern w:val="0"/>
          <w:sz w:val="22"/>
          <w:szCs w:val="22"/>
          <w:u w:val="single"/>
        </w:rPr>
        <w:t xml:space="preserve"> e dell'articolo 1, commi 557 e 562, della </w:t>
      </w:r>
      <w:hyperlink r:id="rId10" w:history="1">
        <w:r w:rsidRPr="008B129E">
          <w:rPr>
            <w:rFonts w:eastAsia="Calibri"/>
            <w:kern w:val="0"/>
            <w:sz w:val="22"/>
            <w:szCs w:val="22"/>
            <w:u w:val="single"/>
          </w:rPr>
          <w:t>legge 27 dicembre 2006, n. 296.</w:t>
        </w:r>
      </w:hyperlink>
      <w:r w:rsidRPr="008B129E">
        <w:rPr>
          <w:rFonts w:eastAsia="Calibri"/>
          <w:kern w:val="0"/>
          <w:sz w:val="22"/>
          <w:szCs w:val="22"/>
        </w:rPr>
        <w:t>”;</w:t>
      </w:r>
    </w:p>
    <w:p w14:paraId="1547FCA9" w14:textId="77777777" w:rsidR="000F5C52" w:rsidRPr="008B129E" w:rsidRDefault="000F5C52" w:rsidP="000F5C52">
      <w:pPr>
        <w:pStyle w:val="Standard"/>
        <w:numPr>
          <w:ilvl w:val="0"/>
          <w:numId w:val="1"/>
        </w:numPr>
        <w:suppressAutoHyphens w:val="0"/>
        <w:ind w:left="426" w:hanging="426"/>
        <w:jc w:val="both"/>
        <w:rPr>
          <w:rFonts w:eastAsia="Calibri"/>
          <w:kern w:val="0"/>
          <w:sz w:val="22"/>
          <w:szCs w:val="22"/>
        </w:rPr>
      </w:pPr>
      <w:r w:rsidRPr="008B129E">
        <w:rPr>
          <w:rFonts w:eastAsia="Calibri"/>
          <w:kern w:val="0"/>
          <w:sz w:val="22"/>
          <w:szCs w:val="22"/>
        </w:rPr>
        <w:t>la prosecuzione del rapporto di lavoro in essere con l’istruttore direttivo tecnico (ingegnere – oggi funzionario tecnico - EQ) per la durata del mandato amministrativo del Sindaco, a tempo pieno 36 ore settimanali, ai sensi dell’art. 110, comma 1, del testo unico di cui al decreto legislativo 18 agosto 2000, n. 267 (</w:t>
      </w:r>
      <w:r w:rsidRPr="008B129E">
        <w:rPr>
          <w:rFonts w:eastAsia="Calibri"/>
          <w:kern w:val="0"/>
          <w:sz w:val="22"/>
          <w:szCs w:val="22"/>
          <w:u w:val="single"/>
        </w:rPr>
        <w:t>importo escluso dalle limitazioni di cui al parametro di riferimento determinato con riferimento al consuntivo 2009</w:t>
      </w:r>
      <w:r w:rsidRPr="008B129E">
        <w:rPr>
          <w:rFonts w:eastAsia="Calibri"/>
          <w:kern w:val="0"/>
          <w:sz w:val="22"/>
          <w:szCs w:val="22"/>
        </w:rPr>
        <w:t>);</w:t>
      </w:r>
    </w:p>
    <w:p w14:paraId="05B4AE4C" w14:textId="77777777" w:rsidR="000F5C52" w:rsidRPr="008B129E" w:rsidRDefault="000F5C52" w:rsidP="000F5C52">
      <w:pPr>
        <w:pStyle w:val="Standard"/>
        <w:numPr>
          <w:ilvl w:val="0"/>
          <w:numId w:val="1"/>
        </w:numPr>
        <w:suppressAutoHyphens w:val="0"/>
        <w:ind w:left="426" w:hanging="426"/>
        <w:jc w:val="both"/>
        <w:rPr>
          <w:rFonts w:eastAsia="Calibri"/>
          <w:kern w:val="0"/>
          <w:sz w:val="22"/>
          <w:szCs w:val="22"/>
        </w:rPr>
      </w:pPr>
      <w:r w:rsidRPr="008B129E">
        <w:rPr>
          <w:rFonts w:eastAsia="Calibri"/>
          <w:kern w:val="0"/>
          <w:sz w:val="22"/>
          <w:szCs w:val="22"/>
        </w:rPr>
        <w:t>l’assunzione di due unità di istruttore direttivo assistente sociale (oggi funzionario assistente sociale - EQ) a tempo determinato per 36 mesi ed a part time 18 ore sett.</w:t>
      </w:r>
      <w:proofErr w:type="spellStart"/>
      <w:r w:rsidRPr="008B129E">
        <w:rPr>
          <w:rFonts w:eastAsia="Calibri"/>
          <w:kern w:val="0"/>
          <w:sz w:val="22"/>
          <w:szCs w:val="22"/>
        </w:rPr>
        <w:t>li</w:t>
      </w:r>
      <w:proofErr w:type="spellEnd"/>
      <w:r w:rsidRPr="008B129E">
        <w:rPr>
          <w:rFonts w:eastAsia="Calibri"/>
          <w:kern w:val="0"/>
          <w:sz w:val="22"/>
          <w:szCs w:val="22"/>
        </w:rPr>
        <w:t xml:space="preserve"> a valere sulle risorse della quota servizi fondo povertà per complessivi € 141.525,90 trasferite dal distretto </w:t>
      </w:r>
      <w:proofErr w:type="gramStart"/>
      <w:r w:rsidRPr="008B129E">
        <w:rPr>
          <w:rFonts w:eastAsia="Calibri"/>
          <w:kern w:val="0"/>
          <w:sz w:val="22"/>
          <w:szCs w:val="22"/>
        </w:rPr>
        <w:t>socio-sanitario</w:t>
      </w:r>
      <w:proofErr w:type="gramEnd"/>
      <w:r w:rsidRPr="008B129E">
        <w:rPr>
          <w:rFonts w:eastAsia="Calibri"/>
          <w:kern w:val="0"/>
          <w:sz w:val="22"/>
          <w:szCs w:val="22"/>
        </w:rPr>
        <w:t xml:space="preserve"> n. 19 (comune capofila Gravina di Catania), accertate in entrata sul Capitolo n. 2048/45 codice 2.01.01.02.999 del Bilancio esercizio 2024 ed impegnate nel seguente modo: </w:t>
      </w:r>
    </w:p>
    <w:p w14:paraId="7F8F5759" w14:textId="77777777" w:rsidR="000F5C52" w:rsidRPr="008B129E" w:rsidRDefault="000F5C52" w:rsidP="000F5C52">
      <w:pPr>
        <w:pStyle w:val="Standard"/>
        <w:numPr>
          <w:ilvl w:val="1"/>
          <w:numId w:val="2"/>
        </w:numPr>
        <w:tabs>
          <w:tab w:val="left" w:pos="993"/>
        </w:tabs>
        <w:overflowPunct/>
        <w:autoSpaceDN/>
        <w:ind w:left="993" w:hanging="502"/>
        <w:jc w:val="both"/>
        <w:textAlignment w:val="auto"/>
        <w:rPr>
          <w:rFonts w:eastAsia="Calibri"/>
          <w:kern w:val="0"/>
          <w:sz w:val="22"/>
          <w:szCs w:val="22"/>
        </w:rPr>
      </w:pPr>
      <w:r w:rsidRPr="008B129E">
        <w:rPr>
          <w:rFonts w:eastAsia="Calibri"/>
          <w:kern w:val="0"/>
          <w:sz w:val="22"/>
          <w:szCs w:val="22"/>
        </w:rPr>
        <w:t xml:space="preserve">codice 12.04-1.01.01.01.006 capitolo 1101 “Assunzione rafforzamento Servizio sociale Piano Povertà” € 106.973,48; </w:t>
      </w:r>
    </w:p>
    <w:p w14:paraId="3916E4F2" w14:textId="77777777" w:rsidR="000F5C52" w:rsidRPr="008B129E" w:rsidRDefault="000F5C52" w:rsidP="000F5C52">
      <w:pPr>
        <w:pStyle w:val="Standard"/>
        <w:numPr>
          <w:ilvl w:val="1"/>
          <w:numId w:val="2"/>
        </w:numPr>
        <w:tabs>
          <w:tab w:val="left" w:pos="993"/>
        </w:tabs>
        <w:overflowPunct/>
        <w:autoSpaceDN/>
        <w:ind w:left="993" w:hanging="502"/>
        <w:jc w:val="both"/>
        <w:textAlignment w:val="auto"/>
        <w:rPr>
          <w:rFonts w:eastAsia="Calibri"/>
          <w:kern w:val="0"/>
          <w:sz w:val="22"/>
          <w:szCs w:val="22"/>
        </w:rPr>
      </w:pPr>
      <w:r w:rsidRPr="008B129E">
        <w:rPr>
          <w:rFonts w:eastAsia="Calibri"/>
          <w:kern w:val="0"/>
          <w:sz w:val="22"/>
          <w:szCs w:val="22"/>
        </w:rPr>
        <w:t>codice 12.04-1.01.02.01.001 capitolo 1101/1 “CPDEL- INAIL- INPS su assunzione rafforzamento servizio sociale Piano Povertà” € 25.459,68;</w:t>
      </w:r>
    </w:p>
    <w:p w14:paraId="3E59FC3E" w14:textId="77777777" w:rsidR="000F5C52" w:rsidRPr="008B129E" w:rsidRDefault="000F5C52" w:rsidP="000F5C52">
      <w:pPr>
        <w:pStyle w:val="Standard"/>
        <w:numPr>
          <w:ilvl w:val="1"/>
          <w:numId w:val="2"/>
        </w:numPr>
        <w:tabs>
          <w:tab w:val="left" w:pos="993"/>
        </w:tabs>
        <w:overflowPunct/>
        <w:autoSpaceDN/>
        <w:ind w:left="993" w:hanging="502"/>
        <w:jc w:val="both"/>
        <w:textAlignment w:val="auto"/>
        <w:rPr>
          <w:rFonts w:eastAsia="Calibri"/>
          <w:kern w:val="0"/>
          <w:sz w:val="22"/>
          <w:szCs w:val="22"/>
        </w:rPr>
      </w:pPr>
      <w:r w:rsidRPr="008B129E">
        <w:rPr>
          <w:rFonts w:eastAsia="Calibri"/>
          <w:kern w:val="0"/>
          <w:sz w:val="22"/>
          <w:szCs w:val="22"/>
        </w:rPr>
        <w:t>codice 12.04-1.02.01.01.001 capitolo 1101/2 “IRAP su assunzione Piano Povertà” € 9.092,74 del bilancio esercizio 2024;</w:t>
      </w:r>
    </w:p>
    <w:p w14:paraId="1D2EB8AF" w14:textId="77777777" w:rsidR="000F5C52" w:rsidRPr="008B129E" w:rsidRDefault="000F5C52" w:rsidP="000F5C52">
      <w:pPr>
        <w:pStyle w:val="Standard"/>
        <w:overflowPunct/>
        <w:autoSpaceDN/>
        <w:ind w:left="709" w:hanging="283"/>
        <w:jc w:val="both"/>
        <w:textAlignment w:val="auto"/>
        <w:rPr>
          <w:rFonts w:eastAsia="Calibri"/>
          <w:kern w:val="0"/>
          <w:sz w:val="22"/>
          <w:szCs w:val="22"/>
        </w:rPr>
      </w:pPr>
      <w:r w:rsidRPr="008B129E">
        <w:rPr>
          <w:rFonts w:eastAsia="Calibri"/>
          <w:kern w:val="0"/>
          <w:sz w:val="22"/>
          <w:szCs w:val="22"/>
        </w:rPr>
        <w:t xml:space="preserve">giusta determinazione dirigenziale n. 1595/2024 </w:t>
      </w:r>
    </w:p>
    <w:bookmarkEnd w:id="1"/>
    <w:p w14:paraId="1A14635D" w14:textId="77777777" w:rsidR="00677E4D" w:rsidRPr="00677E4D" w:rsidRDefault="00677E4D" w:rsidP="00677E4D">
      <w:pPr>
        <w:spacing w:after="140"/>
        <w:ind w:left="426"/>
        <w:jc w:val="both"/>
        <w:rPr>
          <w:rFonts w:ascii="Times New Roman" w:hAnsi="Times New Roman"/>
          <w:sz w:val="22"/>
          <w:szCs w:val="22"/>
        </w:rPr>
      </w:pPr>
      <w:r w:rsidRPr="00677E4D">
        <w:rPr>
          <w:rFonts w:ascii="Times New Roman" w:hAnsi="Times New Roman"/>
          <w:sz w:val="22"/>
          <w:szCs w:val="22"/>
        </w:rPr>
        <w:t xml:space="preserve">Relativamente </w:t>
      </w:r>
      <w:bookmarkStart w:id="2" w:name="_Hlk212200852"/>
      <w:r w:rsidRPr="00677E4D">
        <w:rPr>
          <w:rFonts w:ascii="Times New Roman" w:hAnsi="Times New Roman"/>
          <w:sz w:val="22"/>
          <w:szCs w:val="22"/>
        </w:rPr>
        <w:t xml:space="preserve">alla previsione di cui alla superiore lett. d) e, fermo restando i limiti derivanti dalle risorse trasferite dal Distretto </w:t>
      </w:r>
      <w:proofErr w:type="gramStart"/>
      <w:r w:rsidRPr="00677E4D">
        <w:rPr>
          <w:rFonts w:ascii="Times New Roman" w:hAnsi="Times New Roman"/>
          <w:sz w:val="22"/>
          <w:szCs w:val="22"/>
        </w:rPr>
        <w:t>Socio Sanitario</w:t>
      </w:r>
      <w:proofErr w:type="gramEnd"/>
      <w:r w:rsidRPr="00677E4D">
        <w:rPr>
          <w:rFonts w:ascii="Times New Roman" w:hAnsi="Times New Roman"/>
          <w:sz w:val="22"/>
          <w:szCs w:val="22"/>
        </w:rPr>
        <w:t xml:space="preserve"> 19, oggi risulta opportuno prevedere l’assunzione di una unità di istruttore direttivo assistente sociale (oggi funzionario assistente sociale - EQ) a tempo determinato per 36 mesi ed a tempo pieno 36 ore sett.li;</w:t>
      </w:r>
      <w:bookmarkEnd w:id="2"/>
    </w:p>
    <w:p w14:paraId="246FC31B" w14:textId="77777777" w:rsidR="000F5C52" w:rsidRPr="008B129E" w:rsidRDefault="000F5C52" w:rsidP="000F5C52">
      <w:pPr>
        <w:spacing w:after="140"/>
        <w:jc w:val="both"/>
        <w:rPr>
          <w:rFonts w:ascii="Times New Roman" w:hAnsi="Times New Roman"/>
          <w:sz w:val="22"/>
          <w:szCs w:val="22"/>
        </w:rPr>
      </w:pPr>
      <w:bookmarkStart w:id="3" w:name="_Hlk212200935"/>
      <w:r w:rsidRPr="008B129E">
        <w:rPr>
          <w:rFonts w:ascii="Times New Roman" w:hAnsi="Times New Roman"/>
          <w:sz w:val="22"/>
          <w:szCs w:val="22"/>
        </w:rPr>
        <w:t>La spesa necessaria ad assicurare le assunzioni di cui alla superiore lettera b) quantificata complessivamente in € 22.424,09 rientra, in ragione annua, nel limite della spesa sostenuta da questo Comune per le finalità in discorso che ammonta – giusta certificazione prot. 17369 del 1/10/2019 – a complessivi € 23.533,47;</w:t>
      </w:r>
    </w:p>
    <w:p w14:paraId="51A65576" w14:textId="77777777" w:rsidR="008E416A" w:rsidRPr="008B129E" w:rsidRDefault="008E416A" w:rsidP="000F5C52">
      <w:pPr>
        <w:jc w:val="both"/>
        <w:rPr>
          <w:rFonts w:ascii="Times New Roman" w:hAnsi="Times New Roman"/>
          <w:sz w:val="22"/>
          <w:szCs w:val="22"/>
        </w:rPr>
      </w:pPr>
    </w:p>
    <w:tbl>
      <w:tblPr>
        <w:tblpPr w:leftFromText="141" w:rightFromText="141" w:vertAnchor="text" w:horzAnchor="margin" w:tblpY="-36"/>
        <w:tblW w:w="5000" w:type="pct"/>
        <w:tblCellMar>
          <w:left w:w="10" w:type="dxa"/>
          <w:right w:w="10" w:type="dxa"/>
        </w:tblCellMar>
        <w:tblLook w:val="0000" w:firstRow="0" w:lastRow="0" w:firstColumn="0" w:lastColumn="0" w:noHBand="0" w:noVBand="0"/>
      </w:tblPr>
      <w:tblGrid>
        <w:gridCol w:w="1513"/>
        <w:gridCol w:w="2182"/>
        <w:gridCol w:w="1970"/>
        <w:gridCol w:w="1275"/>
        <w:gridCol w:w="1277"/>
        <w:gridCol w:w="1411"/>
      </w:tblGrid>
      <w:tr w:rsidR="00D546BE" w:rsidRPr="008B129E" w14:paraId="0A1495C4" w14:textId="77777777" w:rsidTr="00D546BE">
        <w:tc>
          <w:tcPr>
            <w:tcW w:w="786" w:type="pct"/>
            <w:tcBorders>
              <w:top w:val="single" w:sz="4" w:space="0" w:color="000000"/>
              <w:left w:val="single" w:sz="4" w:space="0" w:color="000000"/>
              <w:bottom w:val="single" w:sz="4" w:space="0" w:color="000000"/>
            </w:tcBorders>
            <w:tcMar>
              <w:left w:w="108" w:type="dxa"/>
              <w:right w:w="108" w:type="dxa"/>
            </w:tcMar>
            <w:vAlign w:val="center"/>
          </w:tcPr>
          <w:p w14:paraId="089D1BED" w14:textId="77777777" w:rsidR="000F5C52" w:rsidRPr="008B129E" w:rsidRDefault="000F5C52" w:rsidP="00AF6439">
            <w:pPr>
              <w:pStyle w:val="Standard"/>
              <w:jc w:val="center"/>
              <w:rPr>
                <w:sz w:val="22"/>
                <w:szCs w:val="22"/>
              </w:rPr>
            </w:pPr>
            <w:r w:rsidRPr="008B129E">
              <w:rPr>
                <w:sz w:val="22"/>
                <w:szCs w:val="22"/>
              </w:rPr>
              <w:lastRenderedPageBreak/>
              <w:t xml:space="preserve">Profilo </w:t>
            </w:r>
            <w:proofErr w:type="spellStart"/>
            <w:r w:rsidRPr="008B129E">
              <w:rPr>
                <w:sz w:val="22"/>
                <w:szCs w:val="22"/>
              </w:rPr>
              <w:t>Prof.le</w:t>
            </w:r>
            <w:proofErr w:type="spellEnd"/>
          </w:p>
        </w:tc>
        <w:tc>
          <w:tcPr>
            <w:tcW w:w="1133" w:type="pct"/>
            <w:tcBorders>
              <w:top w:val="single" w:sz="4" w:space="0" w:color="000000"/>
              <w:left w:val="single" w:sz="4" w:space="0" w:color="000000"/>
              <w:bottom w:val="single" w:sz="4" w:space="0" w:color="000000"/>
            </w:tcBorders>
            <w:tcMar>
              <w:left w:w="108" w:type="dxa"/>
              <w:right w:w="108" w:type="dxa"/>
            </w:tcMar>
            <w:vAlign w:val="center"/>
          </w:tcPr>
          <w:p w14:paraId="0E4517A9" w14:textId="77777777" w:rsidR="000F5C52" w:rsidRPr="008B129E" w:rsidRDefault="000F5C52" w:rsidP="00AF6439">
            <w:pPr>
              <w:pStyle w:val="Standard"/>
              <w:jc w:val="center"/>
              <w:rPr>
                <w:sz w:val="22"/>
                <w:szCs w:val="22"/>
              </w:rPr>
            </w:pPr>
            <w:proofErr w:type="spellStart"/>
            <w:proofErr w:type="gramStart"/>
            <w:r w:rsidRPr="008B129E">
              <w:rPr>
                <w:sz w:val="22"/>
                <w:szCs w:val="22"/>
              </w:rPr>
              <w:t>Categ</w:t>
            </w:r>
            <w:proofErr w:type="spellEnd"/>
            <w:r w:rsidRPr="008B129E">
              <w:rPr>
                <w:sz w:val="22"/>
                <w:szCs w:val="22"/>
              </w:rPr>
              <w:t>./</w:t>
            </w:r>
            <w:proofErr w:type="spellStart"/>
            <w:proofErr w:type="gramEnd"/>
            <w:r w:rsidRPr="008B129E">
              <w:rPr>
                <w:sz w:val="22"/>
                <w:szCs w:val="22"/>
              </w:rPr>
              <w:t>Inqudram</w:t>
            </w:r>
            <w:proofErr w:type="spellEnd"/>
            <w:r w:rsidRPr="008B129E">
              <w:rPr>
                <w:sz w:val="22"/>
                <w:szCs w:val="22"/>
              </w:rPr>
              <w:t>.</w:t>
            </w:r>
          </w:p>
        </w:tc>
        <w:tc>
          <w:tcPr>
            <w:tcW w:w="1023" w:type="pct"/>
            <w:tcBorders>
              <w:top w:val="single" w:sz="4" w:space="0" w:color="000000"/>
              <w:left w:val="single" w:sz="4" w:space="0" w:color="000000"/>
              <w:bottom w:val="single" w:sz="4" w:space="0" w:color="000000"/>
            </w:tcBorders>
            <w:tcMar>
              <w:left w:w="108" w:type="dxa"/>
              <w:right w:w="108" w:type="dxa"/>
            </w:tcMar>
            <w:vAlign w:val="center"/>
          </w:tcPr>
          <w:p w14:paraId="0BA96997" w14:textId="77777777" w:rsidR="000F5C52" w:rsidRPr="008B129E" w:rsidRDefault="000F5C52" w:rsidP="00AF6439">
            <w:pPr>
              <w:pStyle w:val="Standard"/>
              <w:jc w:val="center"/>
              <w:rPr>
                <w:sz w:val="22"/>
                <w:szCs w:val="22"/>
              </w:rPr>
            </w:pPr>
            <w:r w:rsidRPr="008B129E">
              <w:rPr>
                <w:sz w:val="22"/>
                <w:szCs w:val="22"/>
              </w:rPr>
              <w:t>Tabellare</w:t>
            </w:r>
            <w:r w:rsidRPr="008B129E">
              <w:rPr>
                <w:rStyle w:val="Carpredefinitoparagrafo0"/>
                <w:sz w:val="22"/>
                <w:szCs w:val="22"/>
              </w:rPr>
              <w:t xml:space="preserve"> (compreso elemento perequativo e indennità di comparto a carico del bilancio)</w:t>
            </w:r>
          </w:p>
        </w:tc>
        <w:tc>
          <w:tcPr>
            <w:tcW w:w="662" w:type="pct"/>
            <w:tcBorders>
              <w:top w:val="single" w:sz="4" w:space="0" w:color="000000"/>
              <w:left w:val="single" w:sz="4" w:space="0" w:color="000000"/>
              <w:bottom w:val="single" w:sz="4" w:space="0" w:color="000000"/>
            </w:tcBorders>
            <w:tcMar>
              <w:left w:w="108" w:type="dxa"/>
              <w:right w:w="108" w:type="dxa"/>
            </w:tcMar>
            <w:vAlign w:val="center"/>
          </w:tcPr>
          <w:p w14:paraId="7D448C5C" w14:textId="77777777" w:rsidR="000F5C52" w:rsidRPr="008B129E" w:rsidRDefault="000F5C52" w:rsidP="00AF6439">
            <w:pPr>
              <w:pStyle w:val="Standard"/>
              <w:jc w:val="center"/>
              <w:rPr>
                <w:sz w:val="22"/>
                <w:szCs w:val="22"/>
              </w:rPr>
            </w:pPr>
            <w:r w:rsidRPr="008B129E">
              <w:rPr>
                <w:sz w:val="22"/>
                <w:szCs w:val="22"/>
              </w:rPr>
              <w:t>Oneri</w:t>
            </w:r>
          </w:p>
        </w:tc>
        <w:tc>
          <w:tcPr>
            <w:tcW w:w="663" w:type="pct"/>
            <w:tcBorders>
              <w:top w:val="single" w:sz="4" w:space="0" w:color="000000"/>
              <w:left w:val="single" w:sz="4" w:space="0" w:color="000000"/>
              <w:bottom w:val="single" w:sz="4" w:space="0" w:color="000000"/>
            </w:tcBorders>
            <w:tcMar>
              <w:left w:w="108" w:type="dxa"/>
              <w:right w:w="108" w:type="dxa"/>
            </w:tcMar>
            <w:vAlign w:val="center"/>
          </w:tcPr>
          <w:p w14:paraId="49C9A2B4" w14:textId="77777777" w:rsidR="000F5C52" w:rsidRPr="008B129E" w:rsidRDefault="000F5C52" w:rsidP="00AF6439">
            <w:pPr>
              <w:pStyle w:val="Standard"/>
              <w:jc w:val="center"/>
              <w:rPr>
                <w:sz w:val="22"/>
                <w:szCs w:val="22"/>
              </w:rPr>
            </w:pPr>
            <w:r w:rsidRPr="008B129E">
              <w:rPr>
                <w:sz w:val="22"/>
                <w:szCs w:val="22"/>
              </w:rPr>
              <w:t>IRAP</w:t>
            </w:r>
          </w:p>
        </w:tc>
        <w:tc>
          <w:tcPr>
            <w:tcW w:w="733"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73A1D7" w14:textId="77777777" w:rsidR="000F5C52" w:rsidRPr="008B129E" w:rsidRDefault="000F5C52" w:rsidP="00AF6439">
            <w:pPr>
              <w:pStyle w:val="Standard"/>
              <w:jc w:val="center"/>
              <w:rPr>
                <w:sz w:val="22"/>
                <w:szCs w:val="22"/>
              </w:rPr>
            </w:pPr>
            <w:r w:rsidRPr="008B129E">
              <w:rPr>
                <w:sz w:val="22"/>
                <w:szCs w:val="22"/>
              </w:rPr>
              <w:t>TOTALE</w:t>
            </w:r>
          </w:p>
        </w:tc>
      </w:tr>
      <w:tr w:rsidR="00D546BE" w:rsidRPr="008B129E" w14:paraId="461741BF" w14:textId="77777777" w:rsidTr="00D546BE">
        <w:tc>
          <w:tcPr>
            <w:tcW w:w="786" w:type="pct"/>
            <w:tcBorders>
              <w:top w:val="single" w:sz="4" w:space="0" w:color="000000"/>
              <w:left w:val="single" w:sz="4" w:space="0" w:color="000000"/>
              <w:bottom w:val="single" w:sz="4" w:space="0" w:color="000000"/>
            </w:tcBorders>
            <w:tcMar>
              <w:left w:w="108" w:type="dxa"/>
              <w:right w:w="108" w:type="dxa"/>
            </w:tcMar>
            <w:vAlign w:val="center"/>
          </w:tcPr>
          <w:p w14:paraId="52C23FD1" w14:textId="77777777" w:rsidR="000F5C52" w:rsidRPr="008B129E" w:rsidRDefault="000F5C52" w:rsidP="00AF6439">
            <w:pPr>
              <w:pStyle w:val="Standard"/>
              <w:jc w:val="center"/>
              <w:rPr>
                <w:sz w:val="22"/>
                <w:szCs w:val="22"/>
              </w:rPr>
            </w:pPr>
            <w:r w:rsidRPr="008B129E">
              <w:rPr>
                <w:sz w:val="22"/>
                <w:szCs w:val="22"/>
              </w:rPr>
              <w:t>Istruttore</w:t>
            </w:r>
          </w:p>
        </w:tc>
        <w:tc>
          <w:tcPr>
            <w:tcW w:w="1133" w:type="pct"/>
            <w:tcBorders>
              <w:top w:val="single" w:sz="4" w:space="0" w:color="000000"/>
              <w:left w:val="single" w:sz="4" w:space="0" w:color="000000"/>
              <w:bottom w:val="single" w:sz="4" w:space="0" w:color="000000"/>
            </w:tcBorders>
            <w:tcMar>
              <w:left w:w="108" w:type="dxa"/>
              <w:right w:w="108" w:type="dxa"/>
            </w:tcMar>
            <w:vAlign w:val="center"/>
          </w:tcPr>
          <w:p w14:paraId="011716F0" w14:textId="77777777" w:rsidR="000F5C52" w:rsidRPr="008B129E" w:rsidRDefault="000F5C52" w:rsidP="00AF6439">
            <w:pPr>
              <w:pStyle w:val="Standard"/>
              <w:jc w:val="center"/>
              <w:rPr>
                <w:sz w:val="22"/>
                <w:szCs w:val="22"/>
              </w:rPr>
            </w:pPr>
            <w:r w:rsidRPr="008B129E">
              <w:rPr>
                <w:sz w:val="22"/>
                <w:szCs w:val="22"/>
              </w:rPr>
              <w:t>C/1</w:t>
            </w:r>
            <w:r w:rsidRPr="008B129E">
              <w:rPr>
                <w:rStyle w:val="Carpredefinitoparagrafo0"/>
                <w:sz w:val="22"/>
                <w:szCs w:val="22"/>
              </w:rPr>
              <w:t xml:space="preserve"> (oggi Area degli Istruttori, profilo </w:t>
            </w:r>
            <w:proofErr w:type="spellStart"/>
            <w:r w:rsidRPr="008B129E">
              <w:rPr>
                <w:rStyle w:val="Carpredefinitoparagrafo0"/>
                <w:sz w:val="22"/>
                <w:szCs w:val="22"/>
              </w:rPr>
              <w:t>prof.le</w:t>
            </w:r>
            <w:proofErr w:type="spellEnd"/>
            <w:r w:rsidRPr="008B129E">
              <w:rPr>
                <w:rStyle w:val="Carpredefinitoparagrafo0"/>
                <w:sz w:val="22"/>
                <w:szCs w:val="22"/>
              </w:rPr>
              <w:t xml:space="preserve"> Istruttore amministrativo) – part-time 24 h/sett.li </w:t>
            </w:r>
          </w:p>
        </w:tc>
        <w:tc>
          <w:tcPr>
            <w:tcW w:w="1023" w:type="pct"/>
            <w:tcBorders>
              <w:top w:val="single" w:sz="4" w:space="0" w:color="000000"/>
              <w:left w:val="single" w:sz="4" w:space="0" w:color="000000"/>
              <w:bottom w:val="single" w:sz="4" w:space="0" w:color="000000"/>
            </w:tcBorders>
            <w:tcMar>
              <w:left w:w="108" w:type="dxa"/>
              <w:right w:w="108" w:type="dxa"/>
            </w:tcMar>
            <w:vAlign w:val="center"/>
          </w:tcPr>
          <w:p w14:paraId="6DD798C7" w14:textId="77777777" w:rsidR="000F5C52" w:rsidRPr="008B129E" w:rsidRDefault="000F5C52" w:rsidP="00AF6439">
            <w:pPr>
              <w:pStyle w:val="Standard"/>
              <w:jc w:val="center"/>
              <w:rPr>
                <w:sz w:val="22"/>
                <w:szCs w:val="22"/>
              </w:rPr>
            </w:pPr>
            <w:r w:rsidRPr="008B129E">
              <w:rPr>
                <w:sz w:val="22"/>
                <w:szCs w:val="22"/>
              </w:rPr>
              <w:t>€ 16.078,11</w:t>
            </w:r>
          </w:p>
          <w:p w14:paraId="030CEEDA" w14:textId="77777777" w:rsidR="000F5C52" w:rsidRPr="008B129E" w:rsidRDefault="000F5C52" w:rsidP="00AF6439">
            <w:pPr>
              <w:pStyle w:val="Standard"/>
              <w:jc w:val="center"/>
              <w:rPr>
                <w:sz w:val="22"/>
                <w:szCs w:val="22"/>
              </w:rPr>
            </w:pPr>
            <w:r w:rsidRPr="008B129E">
              <w:rPr>
                <w:sz w:val="22"/>
                <w:szCs w:val="22"/>
              </w:rPr>
              <w:t>(oltre indennità di comparto a carico del fondo per € 331,68)</w:t>
            </w:r>
          </w:p>
        </w:tc>
        <w:tc>
          <w:tcPr>
            <w:tcW w:w="662" w:type="pct"/>
            <w:tcBorders>
              <w:top w:val="single" w:sz="4" w:space="0" w:color="000000"/>
              <w:left w:val="single" w:sz="4" w:space="0" w:color="000000"/>
              <w:bottom w:val="single" w:sz="4" w:space="0" w:color="000000"/>
            </w:tcBorders>
            <w:tcMar>
              <w:left w:w="108" w:type="dxa"/>
              <w:right w:w="108" w:type="dxa"/>
            </w:tcMar>
            <w:vAlign w:val="center"/>
          </w:tcPr>
          <w:p w14:paraId="2233D712" w14:textId="77777777" w:rsidR="000F5C52" w:rsidRPr="008B129E" w:rsidRDefault="000F5C52" w:rsidP="00AF6439">
            <w:pPr>
              <w:pStyle w:val="Standard"/>
              <w:jc w:val="center"/>
              <w:rPr>
                <w:sz w:val="22"/>
                <w:szCs w:val="22"/>
              </w:rPr>
            </w:pPr>
            <w:r w:rsidRPr="008B129E">
              <w:rPr>
                <w:sz w:val="22"/>
                <w:szCs w:val="22"/>
              </w:rPr>
              <w:t>€ 4.714,65</w:t>
            </w:r>
          </w:p>
        </w:tc>
        <w:tc>
          <w:tcPr>
            <w:tcW w:w="663" w:type="pct"/>
            <w:tcBorders>
              <w:top w:val="single" w:sz="4" w:space="0" w:color="000000"/>
              <w:left w:val="single" w:sz="4" w:space="0" w:color="000000"/>
              <w:bottom w:val="single" w:sz="4" w:space="0" w:color="000000"/>
            </w:tcBorders>
            <w:tcMar>
              <w:left w:w="108" w:type="dxa"/>
              <w:right w:w="108" w:type="dxa"/>
            </w:tcMar>
            <w:vAlign w:val="center"/>
          </w:tcPr>
          <w:p w14:paraId="39CE9805" w14:textId="77777777" w:rsidR="000F5C52" w:rsidRPr="008B129E" w:rsidRDefault="000F5C52" w:rsidP="00AF6439">
            <w:pPr>
              <w:pStyle w:val="Standard"/>
              <w:jc w:val="center"/>
              <w:rPr>
                <w:sz w:val="22"/>
                <w:szCs w:val="22"/>
              </w:rPr>
            </w:pPr>
            <w:r w:rsidRPr="008B129E">
              <w:rPr>
                <w:sz w:val="22"/>
                <w:szCs w:val="22"/>
              </w:rPr>
              <w:t>€ 1.394,83</w:t>
            </w:r>
          </w:p>
        </w:tc>
        <w:tc>
          <w:tcPr>
            <w:tcW w:w="733"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AAD76D" w14:textId="77777777" w:rsidR="000F5C52" w:rsidRPr="008B129E" w:rsidRDefault="000F5C52" w:rsidP="00AF6439">
            <w:pPr>
              <w:pStyle w:val="Standard"/>
              <w:jc w:val="center"/>
              <w:rPr>
                <w:sz w:val="22"/>
                <w:szCs w:val="22"/>
              </w:rPr>
            </w:pPr>
            <w:r w:rsidRPr="008B129E">
              <w:rPr>
                <w:sz w:val="22"/>
                <w:szCs w:val="22"/>
              </w:rPr>
              <w:t>€ 22.187,59</w:t>
            </w:r>
          </w:p>
        </w:tc>
      </w:tr>
      <w:tr w:rsidR="00D546BE" w:rsidRPr="008B129E" w14:paraId="7229F5CF" w14:textId="77777777" w:rsidTr="00D546BE">
        <w:trPr>
          <w:trHeight w:val="387"/>
        </w:trPr>
        <w:tc>
          <w:tcPr>
            <w:tcW w:w="786" w:type="pct"/>
            <w:tcBorders>
              <w:top w:val="single" w:sz="4" w:space="0" w:color="000000"/>
              <w:left w:val="single" w:sz="4" w:space="0" w:color="000000"/>
              <w:bottom w:val="single" w:sz="4" w:space="0" w:color="000000"/>
            </w:tcBorders>
            <w:tcMar>
              <w:left w:w="108" w:type="dxa"/>
              <w:right w:w="108" w:type="dxa"/>
            </w:tcMar>
            <w:vAlign w:val="center"/>
          </w:tcPr>
          <w:p w14:paraId="05420B5D" w14:textId="77777777" w:rsidR="000F5C52" w:rsidRPr="008B129E" w:rsidRDefault="000F5C52" w:rsidP="00AF6439">
            <w:pPr>
              <w:pStyle w:val="Standard"/>
              <w:jc w:val="center"/>
              <w:rPr>
                <w:sz w:val="22"/>
                <w:szCs w:val="22"/>
              </w:rPr>
            </w:pPr>
          </w:p>
        </w:tc>
        <w:tc>
          <w:tcPr>
            <w:tcW w:w="1133" w:type="pct"/>
            <w:tcBorders>
              <w:top w:val="single" w:sz="4" w:space="0" w:color="000000"/>
              <w:left w:val="single" w:sz="4" w:space="0" w:color="000000"/>
              <w:bottom w:val="single" w:sz="4" w:space="0" w:color="000000"/>
            </w:tcBorders>
            <w:tcMar>
              <w:left w:w="108" w:type="dxa"/>
              <w:right w:w="108" w:type="dxa"/>
            </w:tcMar>
            <w:vAlign w:val="center"/>
          </w:tcPr>
          <w:p w14:paraId="51BAB37E" w14:textId="77777777" w:rsidR="000F5C52" w:rsidRPr="008B129E" w:rsidRDefault="000F5C52" w:rsidP="00AF6439">
            <w:pPr>
              <w:pStyle w:val="Standard"/>
              <w:jc w:val="center"/>
              <w:rPr>
                <w:sz w:val="22"/>
                <w:szCs w:val="22"/>
              </w:rPr>
            </w:pPr>
          </w:p>
        </w:tc>
        <w:tc>
          <w:tcPr>
            <w:tcW w:w="1023" w:type="pct"/>
            <w:tcBorders>
              <w:top w:val="single" w:sz="4" w:space="0" w:color="000000"/>
              <w:left w:val="single" w:sz="4" w:space="0" w:color="000000"/>
              <w:bottom w:val="single" w:sz="4" w:space="0" w:color="000000"/>
            </w:tcBorders>
            <w:tcMar>
              <w:left w:w="108" w:type="dxa"/>
              <w:right w:w="108" w:type="dxa"/>
            </w:tcMar>
            <w:vAlign w:val="center"/>
          </w:tcPr>
          <w:p w14:paraId="0284D845" w14:textId="77777777" w:rsidR="000F5C52" w:rsidRPr="008B129E" w:rsidRDefault="000F5C52" w:rsidP="00AF6439">
            <w:pPr>
              <w:pStyle w:val="Standard"/>
              <w:jc w:val="center"/>
              <w:rPr>
                <w:sz w:val="22"/>
                <w:szCs w:val="22"/>
              </w:rPr>
            </w:pPr>
          </w:p>
        </w:tc>
        <w:tc>
          <w:tcPr>
            <w:tcW w:w="662" w:type="pct"/>
            <w:tcBorders>
              <w:top w:val="single" w:sz="4" w:space="0" w:color="000000"/>
              <w:left w:val="single" w:sz="4" w:space="0" w:color="000000"/>
              <w:bottom w:val="single" w:sz="4" w:space="0" w:color="000000"/>
            </w:tcBorders>
            <w:tcMar>
              <w:left w:w="108" w:type="dxa"/>
              <w:right w:w="108" w:type="dxa"/>
            </w:tcMar>
            <w:vAlign w:val="center"/>
          </w:tcPr>
          <w:p w14:paraId="3D698D55" w14:textId="77777777" w:rsidR="000F5C52" w:rsidRPr="008B129E" w:rsidRDefault="000F5C52" w:rsidP="00AF6439">
            <w:pPr>
              <w:pStyle w:val="Standard"/>
              <w:jc w:val="center"/>
              <w:rPr>
                <w:sz w:val="22"/>
                <w:szCs w:val="22"/>
              </w:rPr>
            </w:pPr>
          </w:p>
        </w:tc>
        <w:tc>
          <w:tcPr>
            <w:tcW w:w="663" w:type="pct"/>
            <w:tcBorders>
              <w:top w:val="single" w:sz="4" w:space="0" w:color="000000"/>
              <w:left w:val="single" w:sz="4" w:space="0" w:color="000000"/>
              <w:bottom w:val="single" w:sz="4" w:space="0" w:color="000000"/>
            </w:tcBorders>
            <w:tcMar>
              <w:left w:w="108" w:type="dxa"/>
              <w:right w:w="108" w:type="dxa"/>
            </w:tcMar>
            <w:vAlign w:val="center"/>
          </w:tcPr>
          <w:p w14:paraId="155FCD8D" w14:textId="77777777" w:rsidR="000F5C52" w:rsidRPr="008B129E" w:rsidRDefault="000F5C52" w:rsidP="00AF6439">
            <w:pPr>
              <w:pStyle w:val="Standard"/>
              <w:jc w:val="center"/>
              <w:rPr>
                <w:sz w:val="22"/>
                <w:szCs w:val="22"/>
              </w:rPr>
            </w:pPr>
          </w:p>
        </w:tc>
        <w:tc>
          <w:tcPr>
            <w:tcW w:w="733"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5D5246" w14:textId="77777777" w:rsidR="000F5C52" w:rsidRPr="008B129E" w:rsidRDefault="000F5C52" w:rsidP="00AF6439">
            <w:pPr>
              <w:pStyle w:val="Standard"/>
              <w:jc w:val="center"/>
              <w:rPr>
                <w:sz w:val="22"/>
                <w:szCs w:val="22"/>
              </w:rPr>
            </w:pPr>
            <w:r w:rsidRPr="008B129E">
              <w:rPr>
                <w:sz w:val="22"/>
                <w:szCs w:val="22"/>
              </w:rPr>
              <w:t>€ 22.519,27</w:t>
            </w:r>
          </w:p>
        </w:tc>
      </w:tr>
    </w:tbl>
    <w:p w14:paraId="5F528C3A" w14:textId="77777777" w:rsidR="001B6244" w:rsidRDefault="001B6244" w:rsidP="000F5C52">
      <w:pPr>
        <w:jc w:val="both"/>
        <w:rPr>
          <w:rFonts w:ascii="Times New Roman" w:hAnsi="Times New Roman"/>
          <w:sz w:val="22"/>
          <w:szCs w:val="22"/>
        </w:rPr>
      </w:pPr>
      <w:bookmarkStart w:id="4" w:name="_Hlk212201079"/>
      <w:bookmarkEnd w:id="3"/>
    </w:p>
    <w:p w14:paraId="542A4F7F" w14:textId="7FA45B61" w:rsidR="008E416A" w:rsidRPr="008B129E" w:rsidRDefault="008E416A" w:rsidP="000F5C52">
      <w:pPr>
        <w:jc w:val="both"/>
        <w:rPr>
          <w:rFonts w:ascii="Times New Roman" w:hAnsi="Times New Roman"/>
          <w:b/>
          <w:bCs/>
          <w:sz w:val="22"/>
          <w:szCs w:val="22"/>
        </w:rPr>
      </w:pPr>
      <w:r w:rsidRPr="008B129E">
        <w:rPr>
          <w:rFonts w:ascii="Times New Roman" w:hAnsi="Times New Roman"/>
          <w:sz w:val="22"/>
          <w:szCs w:val="22"/>
        </w:rPr>
        <w:t xml:space="preserve">Rispetto alla superiore programmazione già autorizzata con la citata </w:t>
      </w:r>
      <w:r w:rsidRPr="001B6244">
        <w:rPr>
          <w:rFonts w:ascii="Times New Roman" w:hAnsi="Times New Roman"/>
          <w:sz w:val="22"/>
          <w:szCs w:val="22"/>
        </w:rPr>
        <w:t>delibera di Giunta Comunale n. 4 del 24 gennaio 2025</w:t>
      </w:r>
      <w:r w:rsidRPr="008B129E">
        <w:rPr>
          <w:rFonts w:ascii="Times New Roman" w:hAnsi="Times New Roman"/>
          <w:sz w:val="22"/>
          <w:szCs w:val="22"/>
        </w:rPr>
        <w:t xml:space="preserve">, </w:t>
      </w:r>
      <w:r w:rsidR="00D546BE" w:rsidRPr="008B129E">
        <w:rPr>
          <w:rFonts w:ascii="Times New Roman" w:hAnsi="Times New Roman"/>
          <w:sz w:val="22"/>
          <w:szCs w:val="22"/>
        </w:rPr>
        <w:t xml:space="preserve">in considerazione della riduzione del personale destinato al servizio economico finanziario a seguito della cessazione di un rapporto di lavoro intervenuta nei primi mesi del corrente anno ed in prospettiva del collocamento a riposo di una ulteriore unità </w:t>
      </w:r>
      <w:r w:rsidR="00677E4D">
        <w:rPr>
          <w:rFonts w:ascii="Times New Roman" w:hAnsi="Times New Roman"/>
          <w:sz w:val="22"/>
          <w:szCs w:val="22"/>
        </w:rPr>
        <w:t>a data dal 1 novembre 2025</w:t>
      </w:r>
      <w:r w:rsidR="00D546BE" w:rsidRPr="008B129E">
        <w:rPr>
          <w:rFonts w:ascii="Times New Roman" w:hAnsi="Times New Roman"/>
          <w:sz w:val="22"/>
          <w:szCs w:val="22"/>
        </w:rPr>
        <w:t xml:space="preserve">, l’Amministrazione intende </w:t>
      </w:r>
      <w:r w:rsidR="00677E4D">
        <w:rPr>
          <w:rFonts w:ascii="Times New Roman" w:hAnsi="Times New Roman"/>
          <w:sz w:val="22"/>
          <w:szCs w:val="22"/>
        </w:rPr>
        <w:t>riservarsi la possibilità di valutare</w:t>
      </w:r>
      <w:r w:rsidR="00677E4D" w:rsidRPr="008B129E">
        <w:rPr>
          <w:rFonts w:ascii="Times New Roman" w:hAnsi="Times New Roman"/>
          <w:sz w:val="22"/>
          <w:szCs w:val="22"/>
        </w:rPr>
        <w:t xml:space="preserve"> </w:t>
      </w:r>
      <w:r w:rsidR="00D546BE" w:rsidRPr="008B129E">
        <w:rPr>
          <w:rFonts w:ascii="Times New Roman" w:hAnsi="Times New Roman"/>
          <w:sz w:val="22"/>
          <w:szCs w:val="22"/>
        </w:rPr>
        <w:t>l’assunzione di un Funzionario Esperto Contabile per la durata del mandato amministrativo del Sindaco, a tempo pieno 36 ore settimanali, ai sensi dell’art. 110, comma 1, del testo unico di cui al decreto legislativo 18 agosto 2000, n. 267 (</w:t>
      </w:r>
      <w:r w:rsidR="00D546BE" w:rsidRPr="008B129E">
        <w:rPr>
          <w:rFonts w:ascii="Times New Roman" w:hAnsi="Times New Roman"/>
          <w:sz w:val="22"/>
          <w:szCs w:val="22"/>
          <w:u w:val="single"/>
        </w:rPr>
        <w:t>importo escluso dalle limitazioni di cui al parametro di riferimento determinato con riferimento al consuntivo 2009</w:t>
      </w:r>
      <w:r w:rsidR="00D546BE" w:rsidRPr="008B129E">
        <w:rPr>
          <w:rFonts w:ascii="Times New Roman" w:hAnsi="Times New Roman"/>
          <w:sz w:val="22"/>
          <w:szCs w:val="22"/>
        </w:rPr>
        <w:t>).</w:t>
      </w:r>
    </w:p>
    <w:bookmarkEnd w:id="4"/>
    <w:p w14:paraId="777DE109" w14:textId="77777777" w:rsidR="008E416A" w:rsidRPr="008B129E" w:rsidRDefault="008E416A" w:rsidP="000F5C52">
      <w:pPr>
        <w:jc w:val="both"/>
        <w:rPr>
          <w:rFonts w:ascii="Times New Roman" w:hAnsi="Times New Roman"/>
          <w:b/>
          <w:bCs/>
          <w:sz w:val="22"/>
          <w:szCs w:val="22"/>
        </w:rPr>
      </w:pPr>
    </w:p>
    <w:p w14:paraId="4EC7F0BF" w14:textId="7638AE26" w:rsidR="000F5C52" w:rsidRPr="008B129E" w:rsidRDefault="000F5C52" w:rsidP="000F5C52">
      <w:pPr>
        <w:jc w:val="both"/>
        <w:rPr>
          <w:rFonts w:ascii="Times New Roman" w:hAnsi="Times New Roman"/>
          <w:sz w:val="22"/>
          <w:szCs w:val="22"/>
        </w:rPr>
      </w:pPr>
      <w:r w:rsidRPr="008B129E">
        <w:rPr>
          <w:rFonts w:ascii="Times New Roman" w:hAnsi="Times New Roman"/>
          <w:b/>
          <w:bCs/>
          <w:sz w:val="22"/>
          <w:szCs w:val="22"/>
        </w:rPr>
        <w:t>8.Stabilizzazione personale precario</w:t>
      </w:r>
    </w:p>
    <w:p w14:paraId="676BB49D"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È prevista la stabilizzazione del seguente personale precario nelle annualità di seguito riportate, utilizzando le previsioni normative accanto ad ogni figura riportate:</w:t>
      </w:r>
    </w:p>
    <w:p w14:paraId="29FCD416" w14:textId="77777777" w:rsidR="000F5C52" w:rsidRPr="008B129E" w:rsidRDefault="000F5C52" w:rsidP="000F5C52">
      <w:pPr>
        <w:jc w:val="both"/>
        <w:rPr>
          <w:rFonts w:ascii="Times New Roman" w:hAnsi="Times New Roman"/>
          <w:sz w:val="22"/>
          <w:szCs w:val="22"/>
        </w:rPr>
      </w:pPr>
    </w:p>
    <w:tbl>
      <w:tblPr>
        <w:tblW w:w="0" w:type="auto"/>
        <w:tblInd w:w="-15" w:type="dxa"/>
        <w:tblLayout w:type="fixed"/>
        <w:tblLook w:val="0000" w:firstRow="0" w:lastRow="0" w:firstColumn="0" w:lastColumn="0" w:noHBand="0" w:noVBand="0"/>
      </w:tblPr>
      <w:tblGrid>
        <w:gridCol w:w="1384"/>
        <w:gridCol w:w="2693"/>
        <w:gridCol w:w="5133"/>
      </w:tblGrid>
      <w:tr w:rsidR="000F5C52" w:rsidRPr="008B129E" w14:paraId="6871F17A" w14:textId="77777777" w:rsidTr="00AF6439">
        <w:tc>
          <w:tcPr>
            <w:tcW w:w="1384" w:type="dxa"/>
            <w:tcBorders>
              <w:top w:val="single" w:sz="4" w:space="0" w:color="000000"/>
              <w:left w:val="single" w:sz="4" w:space="0" w:color="000000"/>
              <w:bottom w:val="single" w:sz="4" w:space="0" w:color="000000"/>
            </w:tcBorders>
          </w:tcPr>
          <w:p w14:paraId="63611CCB" w14:textId="77777777" w:rsidR="000F5C52" w:rsidRPr="008B129E" w:rsidRDefault="000F5C52" w:rsidP="00AF6439">
            <w:pPr>
              <w:jc w:val="both"/>
              <w:rPr>
                <w:rFonts w:ascii="Times New Roman" w:hAnsi="Times New Roman"/>
                <w:sz w:val="22"/>
                <w:szCs w:val="22"/>
              </w:rPr>
            </w:pPr>
            <w:r w:rsidRPr="008B129E">
              <w:rPr>
                <w:rFonts w:ascii="Times New Roman" w:hAnsi="Times New Roman"/>
                <w:sz w:val="22"/>
                <w:szCs w:val="22"/>
              </w:rPr>
              <w:t>Annualità</w:t>
            </w:r>
          </w:p>
        </w:tc>
        <w:tc>
          <w:tcPr>
            <w:tcW w:w="2693" w:type="dxa"/>
            <w:tcBorders>
              <w:top w:val="single" w:sz="4" w:space="0" w:color="000000"/>
              <w:left w:val="single" w:sz="4" w:space="0" w:color="000000"/>
              <w:bottom w:val="single" w:sz="4" w:space="0" w:color="000000"/>
            </w:tcBorders>
          </w:tcPr>
          <w:p w14:paraId="1F9A788E" w14:textId="77777777" w:rsidR="000F5C52" w:rsidRPr="008B129E" w:rsidRDefault="000F5C52" w:rsidP="00AF6439">
            <w:pPr>
              <w:jc w:val="both"/>
              <w:rPr>
                <w:rFonts w:ascii="Times New Roman" w:hAnsi="Times New Roman"/>
                <w:sz w:val="22"/>
                <w:szCs w:val="22"/>
              </w:rPr>
            </w:pPr>
            <w:r w:rsidRPr="008B129E">
              <w:rPr>
                <w:rFonts w:ascii="Times New Roman" w:hAnsi="Times New Roman"/>
                <w:sz w:val="22"/>
                <w:szCs w:val="22"/>
              </w:rPr>
              <w:t>Profilo professionale</w:t>
            </w:r>
          </w:p>
        </w:tc>
        <w:tc>
          <w:tcPr>
            <w:tcW w:w="5133" w:type="dxa"/>
            <w:tcBorders>
              <w:top w:val="single" w:sz="4" w:space="0" w:color="000000"/>
              <w:left w:val="single" w:sz="4" w:space="0" w:color="000000"/>
              <w:bottom w:val="single" w:sz="4" w:space="0" w:color="000000"/>
              <w:right w:val="single" w:sz="4" w:space="0" w:color="000000"/>
            </w:tcBorders>
          </w:tcPr>
          <w:p w14:paraId="040FAD24" w14:textId="77777777" w:rsidR="000F5C52" w:rsidRPr="008B129E" w:rsidRDefault="000F5C52" w:rsidP="00AF6439">
            <w:pPr>
              <w:jc w:val="both"/>
              <w:rPr>
                <w:rFonts w:ascii="Times New Roman" w:hAnsi="Times New Roman"/>
                <w:sz w:val="22"/>
                <w:szCs w:val="22"/>
              </w:rPr>
            </w:pPr>
            <w:r w:rsidRPr="008B129E">
              <w:rPr>
                <w:rFonts w:ascii="Times New Roman" w:hAnsi="Times New Roman"/>
                <w:sz w:val="22"/>
                <w:szCs w:val="22"/>
              </w:rPr>
              <w:t>Disciplina applicabile</w:t>
            </w:r>
          </w:p>
        </w:tc>
      </w:tr>
      <w:tr w:rsidR="000F5C52" w:rsidRPr="008B129E" w14:paraId="7FA9CE41" w14:textId="77777777" w:rsidTr="00AF6439">
        <w:tc>
          <w:tcPr>
            <w:tcW w:w="1384" w:type="dxa"/>
            <w:tcBorders>
              <w:top w:val="single" w:sz="4" w:space="0" w:color="000000"/>
              <w:left w:val="single" w:sz="4" w:space="0" w:color="000000"/>
              <w:bottom w:val="single" w:sz="4" w:space="0" w:color="000000"/>
            </w:tcBorders>
          </w:tcPr>
          <w:p w14:paraId="7649C662" w14:textId="77777777" w:rsidR="000F5C52" w:rsidRPr="008B129E" w:rsidRDefault="000F5C52" w:rsidP="00AF6439">
            <w:pPr>
              <w:jc w:val="both"/>
              <w:rPr>
                <w:rFonts w:ascii="Times New Roman" w:eastAsia="Arial" w:hAnsi="Times New Roman"/>
                <w:sz w:val="22"/>
                <w:szCs w:val="22"/>
              </w:rPr>
            </w:pPr>
            <w:r w:rsidRPr="008B129E">
              <w:rPr>
                <w:rFonts w:ascii="Times New Roman" w:hAnsi="Times New Roman"/>
                <w:sz w:val="22"/>
                <w:szCs w:val="22"/>
              </w:rPr>
              <w:t>2026</w:t>
            </w:r>
          </w:p>
        </w:tc>
        <w:tc>
          <w:tcPr>
            <w:tcW w:w="2693" w:type="dxa"/>
            <w:tcBorders>
              <w:top w:val="single" w:sz="4" w:space="0" w:color="000000"/>
              <w:left w:val="single" w:sz="4" w:space="0" w:color="000000"/>
              <w:bottom w:val="single" w:sz="4" w:space="0" w:color="000000"/>
            </w:tcBorders>
          </w:tcPr>
          <w:p w14:paraId="074CA17B" w14:textId="77777777" w:rsidR="000F5C52" w:rsidRPr="008B129E" w:rsidRDefault="000F5C52" w:rsidP="00AF6439">
            <w:pPr>
              <w:jc w:val="both"/>
              <w:rPr>
                <w:rFonts w:ascii="Times New Roman" w:eastAsia="Arial" w:hAnsi="Times New Roman"/>
                <w:sz w:val="22"/>
                <w:szCs w:val="22"/>
              </w:rPr>
            </w:pPr>
            <w:r w:rsidRPr="008B129E">
              <w:rPr>
                <w:rFonts w:ascii="Times New Roman" w:eastAsia="Arial" w:hAnsi="Times New Roman"/>
                <w:sz w:val="22"/>
                <w:szCs w:val="22"/>
              </w:rPr>
              <w:t>n.2 Funzionario E.Q. Ingegnere</w:t>
            </w:r>
          </w:p>
        </w:tc>
        <w:tc>
          <w:tcPr>
            <w:tcW w:w="5133" w:type="dxa"/>
            <w:tcBorders>
              <w:top w:val="single" w:sz="4" w:space="0" w:color="000000"/>
              <w:left w:val="single" w:sz="4" w:space="0" w:color="000000"/>
              <w:bottom w:val="single" w:sz="4" w:space="0" w:color="000000"/>
              <w:right w:val="single" w:sz="4" w:space="0" w:color="000000"/>
            </w:tcBorders>
          </w:tcPr>
          <w:p w14:paraId="21DB932C" w14:textId="77777777" w:rsidR="000F5C52" w:rsidRPr="008B129E" w:rsidRDefault="000F5C52" w:rsidP="00AF6439">
            <w:pPr>
              <w:jc w:val="both"/>
              <w:rPr>
                <w:rFonts w:ascii="Times New Roman" w:hAnsi="Times New Roman"/>
                <w:sz w:val="22"/>
                <w:szCs w:val="22"/>
              </w:rPr>
            </w:pPr>
            <w:r w:rsidRPr="008B129E">
              <w:rPr>
                <w:rFonts w:ascii="Times New Roman" w:eastAsia="Arial" w:hAnsi="Times New Roman"/>
                <w:sz w:val="22"/>
                <w:szCs w:val="22"/>
              </w:rPr>
              <w:t>procedura di stabilizzazione ex art. 3, co. 5, del D.L. 44/2023, convertito con modificazioni dalla L. 74/2023</w:t>
            </w:r>
          </w:p>
        </w:tc>
      </w:tr>
      <w:tr w:rsidR="000F5C52" w:rsidRPr="008B129E" w14:paraId="43CB02D2" w14:textId="77777777" w:rsidTr="00AF6439">
        <w:tc>
          <w:tcPr>
            <w:tcW w:w="1384" w:type="dxa"/>
            <w:tcBorders>
              <w:top w:val="single" w:sz="4" w:space="0" w:color="000000"/>
              <w:left w:val="single" w:sz="4" w:space="0" w:color="000000"/>
              <w:bottom w:val="single" w:sz="4" w:space="0" w:color="000000"/>
            </w:tcBorders>
          </w:tcPr>
          <w:p w14:paraId="305A9A8F" w14:textId="77777777" w:rsidR="000F5C52" w:rsidRPr="008B129E" w:rsidRDefault="000F5C52" w:rsidP="00AF6439">
            <w:pPr>
              <w:jc w:val="both"/>
              <w:rPr>
                <w:rFonts w:ascii="Times New Roman" w:eastAsia="Arial" w:hAnsi="Times New Roman"/>
                <w:sz w:val="22"/>
                <w:szCs w:val="22"/>
              </w:rPr>
            </w:pPr>
            <w:r w:rsidRPr="008B129E">
              <w:rPr>
                <w:rFonts w:ascii="Times New Roman" w:hAnsi="Times New Roman"/>
                <w:sz w:val="22"/>
                <w:szCs w:val="22"/>
              </w:rPr>
              <w:t>2026</w:t>
            </w:r>
          </w:p>
        </w:tc>
        <w:tc>
          <w:tcPr>
            <w:tcW w:w="2693" w:type="dxa"/>
            <w:tcBorders>
              <w:top w:val="single" w:sz="4" w:space="0" w:color="000000"/>
              <w:left w:val="single" w:sz="4" w:space="0" w:color="000000"/>
              <w:bottom w:val="single" w:sz="4" w:space="0" w:color="000000"/>
            </w:tcBorders>
          </w:tcPr>
          <w:p w14:paraId="1EE83F09" w14:textId="77777777" w:rsidR="000F5C52" w:rsidRPr="008B129E" w:rsidRDefault="000F5C52" w:rsidP="00AF6439">
            <w:pPr>
              <w:jc w:val="both"/>
              <w:rPr>
                <w:rFonts w:ascii="Times New Roman" w:eastAsia="Arial" w:hAnsi="Times New Roman"/>
                <w:sz w:val="22"/>
                <w:szCs w:val="22"/>
              </w:rPr>
            </w:pPr>
            <w:r w:rsidRPr="008B129E">
              <w:rPr>
                <w:rFonts w:ascii="Times New Roman" w:eastAsia="Arial" w:hAnsi="Times New Roman"/>
                <w:sz w:val="22"/>
                <w:szCs w:val="22"/>
              </w:rPr>
              <w:t>n.1 Funzionario E.Q. Ingegnere</w:t>
            </w:r>
          </w:p>
        </w:tc>
        <w:tc>
          <w:tcPr>
            <w:tcW w:w="5133" w:type="dxa"/>
            <w:tcBorders>
              <w:top w:val="single" w:sz="4" w:space="0" w:color="000000"/>
              <w:left w:val="single" w:sz="4" w:space="0" w:color="000000"/>
              <w:bottom w:val="single" w:sz="4" w:space="0" w:color="000000"/>
              <w:right w:val="single" w:sz="4" w:space="0" w:color="000000"/>
            </w:tcBorders>
          </w:tcPr>
          <w:p w14:paraId="4EC70300" w14:textId="77777777" w:rsidR="000F5C52" w:rsidRPr="008B129E" w:rsidRDefault="000F5C52" w:rsidP="00AF6439">
            <w:pPr>
              <w:jc w:val="both"/>
              <w:rPr>
                <w:rFonts w:ascii="Times New Roman" w:hAnsi="Times New Roman"/>
                <w:sz w:val="22"/>
                <w:szCs w:val="22"/>
              </w:rPr>
            </w:pPr>
            <w:r w:rsidRPr="008B129E">
              <w:rPr>
                <w:rFonts w:ascii="Times New Roman" w:eastAsia="Arial" w:hAnsi="Times New Roman"/>
                <w:sz w:val="22"/>
                <w:szCs w:val="22"/>
              </w:rPr>
              <w:t>procedura di stabilizzazione ex art. 28, co. 1-bis, del D.L. 75/2023, convertito in L. 112/2023</w:t>
            </w:r>
          </w:p>
        </w:tc>
      </w:tr>
    </w:tbl>
    <w:p w14:paraId="5E381ABD" w14:textId="77777777" w:rsidR="000F5C52" w:rsidRPr="008B129E" w:rsidRDefault="000F5C52" w:rsidP="000F5C52">
      <w:pPr>
        <w:jc w:val="both"/>
        <w:rPr>
          <w:rFonts w:ascii="Times New Roman" w:hAnsi="Times New Roman"/>
          <w:sz w:val="22"/>
          <w:szCs w:val="22"/>
        </w:rPr>
      </w:pPr>
    </w:p>
    <w:p w14:paraId="2966A671" w14:textId="77777777" w:rsidR="000F5C52" w:rsidRPr="008B129E" w:rsidRDefault="000F5C52" w:rsidP="000F5C52">
      <w:pPr>
        <w:jc w:val="both"/>
        <w:rPr>
          <w:rFonts w:ascii="Times New Roman" w:hAnsi="Times New Roman"/>
          <w:sz w:val="22"/>
          <w:szCs w:val="22"/>
        </w:rPr>
      </w:pPr>
      <w:r w:rsidRPr="008B129E">
        <w:rPr>
          <w:rFonts w:ascii="Times New Roman" w:hAnsi="Times New Roman"/>
          <w:b/>
          <w:bCs/>
          <w:sz w:val="22"/>
          <w:szCs w:val="22"/>
        </w:rPr>
        <w:t xml:space="preserve">9.Progressioni verticali </w:t>
      </w:r>
    </w:p>
    <w:p w14:paraId="620C1876"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Le progressioni verticali sono disciplinate dagli artt. 13 e 15 del CCNL 2019/2021, progressione tra le aree riservate al personale di ruolo.</w:t>
      </w:r>
    </w:p>
    <w:p w14:paraId="051357CA"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L’art. 13 del CCNL Funzioni Locali 16/11/2022 comma 6 e seguenti (disciplina transitoria delle progressioni tra le aree) consente il passaggio dall’area/qualifica di appartenenza a quella immediatamente superiore dei dipendenti di ruolo dell’Amministrazione, in un’ottica di sviluppo professionale, fatta salva una riserva di almeno il 50% delle posizioni disponibili destinata all’accesso dall’esterno, ferme restando le risorse aggiuntive dello 0,55% previste dal medesimo art. 13.</w:t>
      </w:r>
    </w:p>
    <w:p w14:paraId="521B8998"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Con l’applicazione della suindicata norma sono state previste nell’anno 2023 tre progressioni verticali, esaurendo la somma a disposizione proveniente dallo 0,55% del monte salari 2018. </w:t>
      </w:r>
    </w:p>
    <w:p w14:paraId="057A6251"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L’art. 15 del CCNL Funzioni Locali 16/11/2022 (disciplina delle progressioni tra le aree) consente il passaggio dalla area/qualifica di appartenenza a quella immediatamente superiore dei dipendenti di ruolo dell’Amministrazione, fatta salva una riserva di almeno il 50% delle posizioni disponibili destinata all’accesso dall’esterno.</w:t>
      </w:r>
    </w:p>
    <w:p w14:paraId="431A6596"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Per l’anno corrente sono previste esclusivamente progressioni verticali disciplinate dall’art. 15 de citato CCNL FL, secondo il seguente prospetto: </w:t>
      </w:r>
    </w:p>
    <w:p w14:paraId="66B8131E" w14:textId="77777777" w:rsidR="000F5C52" w:rsidRPr="008B129E" w:rsidRDefault="000F5C52" w:rsidP="000F5C52">
      <w:pPr>
        <w:jc w:val="both"/>
        <w:rPr>
          <w:rFonts w:ascii="Times New Roman" w:hAnsi="Times New Roman"/>
          <w:sz w:val="22"/>
          <w:szCs w:val="22"/>
        </w:rPr>
      </w:pPr>
    </w:p>
    <w:tbl>
      <w:tblPr>
        <w:tblW w:w="9286" w:type="dxa"/>
        <w:tblInd w:w="-15" w:type="dxa"/>
        <w:tblLayout w:type="fixed"/>
        <w:tblLook w:val="0000" w:firstRow="0" w:lastRow="0" w:firstColumn="0" w:lastColumn="0" w:noHBand="0" w:noVBand="0"/>
      </w:tblPr>
      <w:tblGrid>
        <w:gridCol w:w="2094"/>
        <w:gridCol w:w="7192"/>
      </w:tblGrid>
      <w:tr w:rsidR="000F5C52" w:rsidRPr="008B129E" w14:paraId="5BD86391" w14:textId="77777777" w:rsidTr="00AF6439">
        <w:tc>
          <w:tcPr>
            <w:tcW w:w="2094" w:type="dxa"/>
            <w:tcBorders>
              <w:top w:val="single" w:sz="4" w:space="0" w:color="000000"/>
              <w:left w:val="single" w:sz="4" w:space="0" w:color="000000"/>
              <w:bottom w:val="single" w:sz="4" w:space="0" w:color="000000"/>
            </w:tcBorders>
          </w:tcPr>
          <w:p w14:paraId="3EC247C1" w14:textId="77777777" w:rsidR="000F5C52" w:rsidRPr="008B129E" w:rsidRDefault="000F5C52" w:rsidP="00AF6439">
            <w:pPr>
              <w:jc w:val="both"/>
              <w:rPr>
                <w:rFonts w:ascii="Times New Roman" w:hAnsi="Times New Roman"/>
                <w:sz w:val="22"/>
                <w:szCs w:val="22"/>
              </w:rPr>
            </w:pPr>
            <w:r w:rsidRPr="008B129E">
              <w:rPr>
                <w:rFonts w:ascii="Times New Roman" w:hAnsi="Times New Roman"/>
                <w:sz w:val="22"/>
                <w:szCs w:val="22"/>
              </w:rPr>
              <w:t>Annualità</w:t>
            </w:r>
          </w:p>
        </w:tc>
        <w:tc>
          <w:tcPr>
            <w:tcW w:w="7192" w:type="dxa"/>
            <w:tcBorders>
              <w:top w:val="single" w:sz="4" w:space="0" w:color="000000"/>
              <w:left w:val="single" w:sz="4" w:space="0" w:color="000000"/>
              <w:bottom w:val="single" w:sz="4" w:space="0" w:color="000000"/>
              <w:right w:val="single" w:sz="4" w:space="0" w:color="000000"/>
            </w:tcBorders>
          </w:tcPr>
          <w:p w14:paraId="3E47997F" w14:textId="77777777" w:rsidR="000F5C52" w:rsidRPr="008B129E" w:rsidRDefault="000F5C52" w:rsidP="00AF6439">
            <w:pPr>
              <w:jc w:val="both"/>
              <w:rPr>
                <w:rFonts w:ascii="Times New Roman" w:hAnsi="Times New Roman"/>
                <w:sz w:val="22"/>
                <w:szCs w:val="22"/>
              </w:rPr>
            </w:pPr>
            <w:r w:rsidRPr="008B129E">
              <w:rPr>
                <w:rFonts w:ascii="Times New Roman" w:hAnsi="Times New Roman"/>
                <w:sz w:val="22"/>
                <w:szCs w:val="22"/>
              </w:rPr>
              <w:t>Profili professionale</w:t>
            </w:r>
          </w:p>
        </w:tc>
      </w:tr>
      <w:tr w:rsidR="000F5C52" w:rsidRPr="008B129E" w14:paraId="3033B9F8" w14:textId="77777777" w:rsidTr="00AF6439">
        <w:tc>
          <w:tcPr>
            <w:tcW w:w="2094" w:type="dxa"/>
            <w:tcBorders>
              <w:top w:val="single" w:sz="4" w:space="0" w:color="000000"/>
              <w:left w:val="single" w:sz="4" w:space="0" w:color="000000"/>
              <w:bottom w:val="single" w:sz="4" w:space="0" w:color="000000"/>
            </w:tcBorders>
          </w:tcPr>
          <w:p w14:paraId="1770A7FE" w14:textId="77777777" w:rsidR="000F5C52" w:rsidRPr="008B129E" w:rsidRDefault="000F5C52" w:rsidP="00AF6439">
            <w:pPr>
              <w:jc w:val="both"/>
              <w:rPr>
                <w:rFonts w:ascii="Times New Roman" w:hAnsi="Times New Roman"/>
                <w:sz w:val="22"/>
                <w:szCs w:val="22"/>
              </w:rPr>
            </w:pPr>
            <w:r w:rsidRPr="008B129E">
              <w:rPr>
                <w:rFonts w:ascii="Times New Roman" w:hAnsi="Times New Roman"/>
                <w:sz w:val="22"/>
                <w:szCs w:val="22"/>
              </w:rPr>
              <w:t>2025</w:t>
            </w:r>
          </w:p>
        </w:tc>
        <w:tc>
          <w:tcPr>
            <w:tcW w:w="7192" w:type="dxa"/>
            <w:tcBorders>
              <w:top w:val="single" w:sz="4" w:space="0" w:color="000000"/>
              <w:left w:val="single" w:sz="4" w:space="0" w:color="000000"/>
              <w:bottom w:val="single" w:sz="4" w:space="0" w:color="000000"/>
              <w:right w:val="single" w:sz="4" w:space="0" w:color="000000"/>
            </w:tcBorders>
          </w:tcPr>
          <w:p w14:paraId="57E9677B" w14:textId="77777777" w:rsidR="000F5C52" w:rsidRPr="008B129E" w:rsidRDefault="000F5C52" w:rsidP="00AF6439">
            <w:pPr>
              <w:jc w:val="both"/>
              <w:rPr>
                <w:rFonts w:ascii="Times New Roman" w:hAnsi="Times New Roman"/>
                <w:sz w:val="22"/>
                <w:szCs w:val="22"/>
              </w:rPr>
            </w:pPr>
            <w:r w:rsidRPr="008B129E">
              <w:rPr>
                <w:rFonts w:ascii="Times New Roman" w:hAnsi="Times New Roman"/>
                <w:sz w:val="22"/>
                <w:szCs w:val="22"/>
              </w:rPr>
              <w:t>N. 1 Funzionario Esperto Contabile</w:t>
            </w:r>
          </w:p>
        </w:tc>
      </w:tr>
    </w:tbl>
    <w:p w14:paraId="4B72223B" w14:textId="77777777" w:rsidR="000F5C52" w:rsidRPr="008B129E" w:rsidRDefault="000F5C52" w:rsidP="000F5C52">
      <w:pPr>
        <w:jc w:val="both"/>
        <w:rPr>
          <w:rFonts w:ascii="Times New Roman" w:hAnsi="Times New Roman"/>
          <w:sz w:val="22"/>
          <w:szCs w:val="22"/>
        </w:rPr>
      </w:pPr>
    </w:p>
    <w:p w14:paraId="749801AE" w14:textId="77777777" w:rsidR="000F5C52" w:rsidRPr="008B129E" w:rsidRDefault="000F5C52" w:rsidP="000F5C52">
      <w:pPr>
        <w:jc w:val="both"/>
        <w:rPr>
          <w:rFonts w:ascii="Times New Roman" w:hAnsi="Times New Roman"/>
          <w:sz w:val="22"/>
          <w:szCs w:val="22"/>
        </w:rPr>
      </w:pPr>
      <w:r w:rsidRPr="008B129E">
        <w:rPr>
          <w:rFonts w:ascii="Times New Roman" w:hAnsi="Times New Roman"/>
          <w:b/>
          <w:bCs/>
          <w:sz w:val="22"/>
          <w:szCs w:val="22"/>
        </w:rPr>
        <w:t>10.</w:t>
      </w:r>
      <w:r w:rsidRPr="008B129E">
        <w:rPr>
          <w:rFonts w:ascii="Times New Roman" w:hAnsi="Times New Roman"/>
          <w:sz w:val="22"/>
          <w:szCs w:val="22"/>
        </w:rPr>
        <w:t xml:space="preserve"> </w:t>
      </w:r>
      <w:r w:rsidRPr="008B129E">
        <w:rPr>
          <w:rFonts w:ascii="Times New Roman" w:hAnsi="Times New Roman"/>
          <w:b/>
          <w:bCs/>
          <w:sz w:val="22"/>
          <w:szCs w:val="22"/>
        </w:rPr>
        <w:t>Modalità di assunzione</w:t>
      </w:r>
    </w:p>
    <w:p w14:paraId="06855EA9"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lastRenderedPageBreak/>
        <w:t>L'Ente non ha graduatorie valide; per economicità dell’azione amministrativa procederà a chiedere l’utilizzo e lo scorrimento di graduatorie valide di altri Enti.</w:t>
      </w:r>
    </w:p>
    <w:p w14:paraId="458D22FB" w14:textId="77777777" w:rsidR="000F5C52" w:rsidRPr="008B129E" w:rsidRDefault="000F5C52" w:rsidP="000F5C52">
      <w:pPr>
        <w:jc w:val="both"/>
        <w:rPr>
          <w:rFonts w:ascii="Times New Roman" w:hAnsi="Times New Roman"/>
          <w:sz w:val="22"/>
          <w:szCs w:val="22"/>
        </w:rPr>
      </w:pPr>
    </w:p>
    <w:p w14:paraId="3E149D0D" w14:textId="77777777" w:rsidR="000F5C52" w:rsidRPr="008B129E" w:rsidRDefault="000F5C52" w:rsidP="000F5C52">
      <w:pPr>
        <w:jc w:val="both"/>
        <w:rPr>
          <w:rFonts w:ascii="Times New Roman" w:hAnsi="Times New Roman"/>
          <w:b/>
          <w:bCs/>
          <w:sz w:val="22"/>
          <w:szCs w:val="22"/>
        </w:rPr>
      </w:pPr>
      <w:r w:rsidRPr="008B129E">
        <w:rPr>
          <w:rFonts w:ascii="Times New Roman" w:hAnsi="Times New Roman"/>
          <w:b/>
          <w:bCs/>
          <w:sz w:val="22"/>
          <w:szCs w:val="22"/>
        </w:rPr>
        <w:t>11. Capacità assunzionale</w:t>
      </w:r>
    </w:p>
    <w:p w14:paraId="37D9C3CE" w14:textId="64DB7675"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Ai sensi dell’art. 5 c.2 del decreto della Presidenza del Consiglio dei Ministri-Dipartimento della Funzione Pubblica i resti assunzionali relativi ai cinque anni precedenti il 2020, </w:t>
      </w:r>
      <w:r w:rsidR="00D546BE" w:rsidRPr="008B129E">
        <w:rPr>
          <w:rFonts w:ascii="Times New Roman" w:hAnsi="Times New Roman"/>
          <w:sz w:val="22"/>
          <w:szCs w:val="22"/>
        </w:rPr>
        <w:t>sono stati</w:t>
      </w:r>
      <w:r w:rsidRPr="008B129E">
        <w:rPr>
          <w:rFonts w:ascii="Times New Roman" w:hAnsi="Times New Roman"/>
          <w:sz w:val="22"/>
          <w:szCs w:val="22"/>
        </w:rPr>
        <w:t xml:space="preserve"> utilizzati nel quinquennio 2020-2024 e nel Comune di San Gregorio di Catania tale somma ammonta</w:t>
      </w:r>
      <w:r w:rsidR="00D546BE" w:rsidRPr="008B129E">
        <w:rPr>
          <w:rFonts w:ascii="Times New Roman" w:hAnsi="Times New Roman"/>
          <w:sz w:val="22"/>
          <w:szCs w:val="22"/>
        </w:rPr>
        <w:t>va</w:t>
      </w:r>
      <w:r w:rsidRPr="008B129E">
        <w:rPr>
          <w:rFonts w:ascii="Times New Roman" w:hAnsi="Times New Roman"/>
          <w:sz w:val="22"/>
          <w:szCs w:val="22"/>
        </w:rPr>
        <w:t xml:space="preserve"> ad € </w:t>
      </w:r>
      <w:r w:rsidR="00922BBB" w:rsidRPr="008B129E">
        <w:rPr>
          <w:rFonts w:ascii="Times New Roman" w:hAnsi="Times New Roman"/>
          <w:color w:val="000000"/>
          <w:sz w:val="22"/>
          <w:szCs w:val="22"/>
        </w:rPr>
        <w:t>80.209,09</w:t>
      </w:r>
      <w:r w:rsidRPr="008B129E">
        <w:rPr>
          <w:rFonts w:ascii="Times New Roman" w:hAnsi="Times New Roman"/>
          <w:sz w:val="22"/>
          <w:szCs w:val="22"/>
        </w:rPr>
        <w:t>.</w:t>
      </w:r>
    </w:p>
    <w:p w14:paraId="383985A3"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Come specificato sopra, il calcolo della capacità assunzionale per l’anno 2021 ed a partire dall’anno 2020 è disciplinata dall’art. 2 lett. b) del decreto succitato, che prevede il calcolo della media degli accertamenti di competenza riferiti alle entrate correnti relative agli ultimi tre rendiconti approvati, considerata al netto del fondo di crediti di dubbia esigibilità stanziato nel bilancio di previsione relativo all’ultima annualità considerata.</w:t>
      </w:r>
    </w:p>
    <w:p w14:paraId="11C882DA" w14:textId="0396B0F9"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Tale percentuale ai sensi dell’art. 6, co. 3, del </w:t>
      </w:r>
      <w:proofErr w:type="spellStart"/>
      <w:r w:rsidRPr="008B129E">
        <w:rPr>
          <w:rFonts w:ascii="Times New Roman" w:hAnsi="Times New Roman"/>
          <w:sz w:val="22"/>
          <w:szCs w:val="22"/>
        </w:rPr>
        <w:t>dPCM</w:t>
      </w:r>
      <w:proofErr w:type="spellEnd"/>
      <w:r w:rsidRPr="008B129E">
        <w:rPr>
          <w:rFonts w:ascii="Times New Roman" w:hAnsi="Times New Roman"/>
          <w:sz w:val="22"/>
          <w:szCs w:val="22"/>
        </w:rPr>
        <w:t xml:space="preserve"> 17 marzo 2020 per il Comune di San Gregorio di Catania non deve superare la percentuale del 2</w:t>
      </w:r>
      <w:r w:rsidR="00922BBB" w:rsidRPr="008B129E">
        <w:rPr>
          <w:rFonts w:ascii="Times New Roman" w:hAnsi="Times New Roman"/>
          <w:sz w:val="22"/>
          <w:szCs w:val="22"/>
        </w:rPr>
        <w:t>9</w:t>
      </w:r>
      <w:r w:rsidRPr="008B129E">
        <w:rPr>
          <w:rFonts w:ascii="Times New Roman" w:hAnsi="Times New Roman"/>
          <w:sz w:val="22"/>
          <w:szCs w:val="22"/>
        </w:rPr>
        <w:t>,</w:t>
      </w:r>
      <w:r w:rsidR="00922BBB" w:rsidRPr="008B129E">
        <w:rPr>
          <w:rFonts w:ascii="Times New Roman" w:hAnsi="Times New Roman"/>
          <w:sz w:val="22"/>
          <w:szCs w:val="22"/>
        </w:rPr>
        <w:t>14</w:t>
      </w:r>
      <w:r w:rsidRPr="008B129E">
        <w:rPr>
          <w:rFonts w:ascii="Times New Roman" w:hAnsi="Times New Roman"/>
          <w:sz w:val="22"/>
          <w:szCs w:val="22"/>
        </w:rPr>
        <w:t>%.</w:t>
      </w:r>
    </w:p>
    <w:p w14:paraId="5450A75B" w14:textId="77777777" w:rsidR="000F5C52" w:rsidRPr="008B129E" w:rsidRDefault="000F5C52" w:rsidP="000F5C52">
      <w:pPr>
        <w:jc w:val="both"/>
        <w:rPr>
          <w:rFonts w:ascii="Times New Roman" w:hAnsi="Times New Roman"/>
          <w:sz w:val="22"/>
          <w:szCs w:val="22"/>
        </w:rPr>
      </w:pPr>
    </w:p>
    <w:p w14:paraId="50BCE1F5" w14:textId="788B9A54"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La programmazione</w:t>
      </w:r>
      <w:r w:rsidR="009B5332" w:rsidRPr="008B129E">
        <w:rPr>
          <w:rFonts w:ascii="Times New Roman" w:hAnsi="Times New Roman"/>
          <w:sz w:val="22"/>
          <w:szCs w:val="22"/>
        </w:rPr>
        <w:t xml:space="preserve"> delle assunzioni </w:t>
      </w:r>
      <w:r w:rsidRPr="008B129E">
        <w:rPr>
          <w:rFonts w:ascii="Times New Roman" w:hAnsi="Times New Roman"/>
          <w:sz w:val="22"/>
          <w:szCs w:val="22"/>
        </w:rPr>
        <w:t xml:space="preserve">per l’esercizio 2019 </w:t>
      </w:r>
      <w:r w:rsidR="009B5332" w:rsidRPr="008B129E">
        <w:rPr>
          <w:rFonts w:ascii="Times New Roman" w:hAnsi="Times New Roman"/>
          <w:sz w:val="22"/>
          <w:szCs w:val="22"/>
        </w:rPr>
        <w:t xml:space="preserve">ha assorbito complessivamente risorse per € 168.927,59 di cui € 10.304, </w:t>
      </w:r>
      <w:r w:rsidR="009B5332" w:rsidRPr="008B129E">
        <w:rPr>
          <w:rFonts w:ascii="Times New Roman" w:hAnsi="Times New Roman"/>
          <w:color w:val="000000"/>
          <w:sz w:val="22"/>
          <w:szCs w:val="22"/>
        </w:rPr>
        <w:t xml:space="preserve">destinate all'incremento a regime del fondo per il salario accessorio </w:t>
      </w:r>
      <w:proofErr w:type="gramStart"/>
      <w:r w:rsidR="009B5332" w:rsidRPr="008B129E">
        <w:rPr>
          <w:rFonts w:ascii="Times New Roman" w:hAnsi="Times New Roman"/>
          <w:color w:val="000000"/>
          <w:sz w:val="22"/>
          <w:szCs w:val="22"/>
        </w:rPr>
        <w:t>P.O..</w:t>
      </w:r>
      <w:proofErr w:type="gramEnd"/>
      <w:r w:rsidR="009B5332" w:rsidRPr="008B129E">
        <w:rPr>
          <w:rFonts w:ascii="Times New Roman" w:hAnsi="Times New Roman"/>
          <w:color w:val="000000"/>
          <w:sz w:val="22"/>
          <w:szCs w:val="22"/>
        </w:rPr>
        <w:t xml:space="preserve"> </w:t>
      </w:r>
      <w:r w:rsidR="009B5332" w:rsidRPr="008B129E">
        <w:rPr>
          <w:rFonts w:ascii="Times New Roman" w:hAnsi="Times New Roman"/>
          <w:sz w:val="22"/>
          <w:szCs w:val="22"/>
        </w:rPr>
        <w:t>R</w:t>
      </w:r>
      <w:r w:rsidRPr="008B129E">
        <w:rPr>
          <w:rFonts w:ascii="Times New Roman" w:hAnsi="Times New Roman"/>
          <w:sz w:val="22"/>
          <w:szCs w:val="22"/>
        </w:rPr>
        <w:t>elativamente a</w:t>
      </w:r>
      <w:r w:rsidR="009B5332" w:rsidRPr="008B129E">
        <w:rPr>
          <w:rFonts w:ascii="Times New Roman" w:hAnsi="Times New Roman"/>
          <w:sz w:val="22"/>
          <w:szCs w:val="22"/>
        </w:rPr>
        <w:t xml:space="preserve"> detta programmazione</w:t>
      </w:r>
      <w:r w:rsidRPr="008B129E">
        <w:rPr>
          <w:rFonts w:ascii="Times New Roman" w:hAnsi="Times New Roman"/>
          <w:sz w:val="22"/>
          <w:szCs w:val="22"/>
        </w:rPr>
        <w:t xml:space="preserve">, ad oggi risulta ancora non coperta la figura dell’Istruttore Direttivo Informatico per la quale è stata formulata istanza di assunzione ai sensi dell’articolo 19 del </w:t>
      </w:r>
      <w:proofErr w:type="spellStart"/>
      <w:r w:rsidRPr="008B129E">
        <w:rPr>
          <w:rFonts w:ascii="Times New Roman" w:hAnsi="Times New Roman"/>
          <w:sz w:val="22"/>
          <w:szCs w:val="22"/>
        </w:rPr>
        <w:t>d.l.</w:t>
      </w:r>
      <w:proofErr w:type="spellEnd"/>
      <w:r w:rsidRPr="008B129E">
        <w:rPr>
          <w:rFonts w:ascii="Times New Roman" w:hAnsi="Times New Roman"/>
          <w:sz w:val="22"/>
          <w:szCs w:val="22"/>
        </w:rPr>
        <w:t xml:space="preserve"> n. 124/2023 e del decreto attuativo, n. 670/2023, del Dipartimento per le politiche di coesione, a valere su risorse </w:t>
      </w:r>
      <w:proofErr w:type="spellStart"/>
      <w:r w:rsidRPr="008B129E">
        <w:rPr>
          <w:rFonts w:ascii="Times New Roman" w:hAnsi="Times New Roman"/>
          <w:sz w:val="22"/>
          <w:szCs w:val="22"/>
        </w:rPr>
        <w:t>eterofinanziate</w:t>
      </w:r>
      <w:proofErr w:type="spellEnd"/>
      <w:r w:rsidRPr="008B129E">
        <w:rPr>
          <w:rFonts w:ascii="Times New Roman" w:hAnsi="Times New Roman"/>
          <w:sz w:val="22"/>
          <w:szCs w:val="22"/>
        </w:rPr>
        <w:t xml:space="preserve">, giusta deliberazione di Giunta Municipale n. 126 del </w:t>
      </w:r>
      <w:proofErr w:type="gramStart"/>
      <w:r w:rsidRPr="008B129E">
        <w:rPr>
          <w:rFonts w:ascii="Times New Roman" w:hAnsi="Times New Roman"/>
          <w:sz w:val="22"/>
          <w:szCs w:val="22"/>
        </w:rPr>
        <w:t>1 dicembre</w:t>
      </w:r>
      <w:proofErr w:type="gramEnd"/>
      <w:r w:rsidRPr="008B129E">
        <w:rPr>
          <w:rFonts w:ascii="Times New Roman" w:hAnsi="Times New Roman"/>
          <w:sz w:val="22"/>
          <w:szCs w:val="22"/>
        </w:rPr>
        <w:t xml:space="preserve"> 2023</w:t>
      </w:r>
      <w:r w:rsidR="009B5332" w:rsidRPr="008B129E">
        <w:rPr>
          <w:rFonts w:ascii="Times New Roman" w:hAnsi="Times New Roman"/>
          <w:sz w:val="22"/>
          <w:szCs w:val="22"/>
        </w:rPr>
        <w:t>.</w:t>
      </w:r>
    </w:p>
    <w:p w14:paraId="79354AEB" w14:textId="77777777" w:rsidR="000F5C52" w:rsidRPr="008B129E" w:rsidRDefault="000F5C52" w:rsidP="000F5C52">
      <w:pPr>
        <w:jc w:val="both"/>
        <w:rPr>
          <w:rFonts w:ascii="Times New Roman" w:hAnsi="Times New Roman"/>
          <w:sz w:val="22"/>
          <w:szCs w:val="22"/>
        </w:rPr>
      </w:pPr>
    </w:p>
    <w:p w14:paraId="14DC4C66" w14:textId="258DAE4B"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La programmazione </w:t>
      </w:r>
      <w:r w:rsidR="009B5332" w:rsidRPr="008B129E">
        <w:rPr>
          <w:rFonts w:ascii="Times New Roman" w:hAnsi="Times New Roman"/>
          <w:sz w:val="22"/>
          <w:szCs w:val="22"/>
        </w:rPr>
        <w:t xml:space="preserve">delle assunzioni </w:t>
      </w:r>
      <w:r w:rsidRPr="008B129E">
        <w:rPr>
          <w:rFonts w:ascii="Times New Roman" w:hAnsi="Times New Roman"/>
          <w:sz w:val="22"/>
          <w:szCs w:val="22"/>
        </w:rPr>
        <w:t xml:space="preserve">per l’esercizio 2020 </w:t>
      </w:r>
      <w:r w:rsidR="009B5332" w:rsidRPr="008B129E">
        <w:rPr>
          <w:rFonts w:ascii="Times New Roman" w:hAnsi="Times New Roman"/>
          <w:sz w:val="22"/>
          <w:szCs w:val="22"/>
        </w:rPr>
        <w:t xml:space="preserve">ha assorbito complessivamente risorse per € </w:t>
      </w:r>
      <w:r w:rsidR="00020944" w:rsidRPr="008B129E">
        <w:rPr>
          <w:rFonts w:ascii="Times New Roman" w:hAnsi="Times New Roman"/>
          <w:sz w:val="22"/>
          <w:szCs w:val="22"/>
        </w:rPr>
        <w:t xml:space="preserve">131.223,14 ed è stata </w:t>
      </w:r>
      <w:r w:rsidRPr="008B129E">
        <w:rPr>
          <w:rFonts w:ascii="Times New Roman" w:hAnsi="Times New Roman"/>
          <w:sz w:val="22"/>
          <w:szCs w:val="22"/>
        </w:rPr>
        <w:t>interamente eseguita</w:t>
      </w:r>
      <w:r w:rsidR="00020944" w:rsidRPr="008B129E">
        <w:rPr>
          <w:rFonts w:ascii="Times New Roman" w:hAnsi="Times New Roman"/>
          <w:sz w:val="22"/>
          <w:szCs w:val="22"/>
        </w:rPr>
        <w:t>.</w:t>
      </w:r>
    </w:p>
    <w:p w14:paraId="626B9FA6" w14:textId="77777777" w:rsidR="000F5C52" w:rsidRPr="008B129E" w:rsidRDefault="000F5C52" w:rsidP="000F5C52">
      <w:pPr>
        <w:jc w:val="both"/>
        <w:rPr>
          <w:rFonts w:ascii="Times New Roman" w:hAnsi="Times New Roman"/>
          <w:sz w:val="22"/>
          <w:szCs w:val="22"/>
        </w:rPr>
      </w:pPr>
    </w:p>
    <w:p w14:paraId="62FDBCC9" w14:textId="4066BBD8"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La programmazione </w:t>
      </w:r>
      <w:r w:rsidR="00020944" w:rsidRPr="008B129E">
        <w:rPr>
          <w:rFonts w:ascii="Times New Roman" w:hAnsi="Times New Roman"/>
          <w:sz w:val="22"/>
          <w:szCs w:val="22"/>
        </w:rPr>
        <w:t xml:space="preserve">delle assunzioni </w:t>
      </w:r>
      <w:r w:rsidRPr="008B129E">
        <w:rPr>
          <w:rFonts w:ascii="Times New Roman" w:hAnsi="Times New Roman"/>
          <w:sz w:val="22"/>
          <w:szCs w:val="22"/>
        </w:rPr>
        <w:t xml:space="preserve">per l’esercizio 2021 </w:t>
      </w:r>
      <w:r w:rsidR="00020944" w:rsidRPr="008B129E">
        <w:rPr>
          <w:rFonts w:ascii="Times New Roman" w:hAnsi="Times New Roman"/>
          <w:sz w:val="22"/>
          <w:szCs w:val="22"/>
        </w:rPr>
        <w:t xml:space="preserve">ha assorbito complessivamente risorse per € 189.547,05 ed è stata </w:t>
      </w:r>
      <w:r w:rsidRPr="008B129E">
        <w:rPr>
          <w:rFonts w:ascii="Times New Roman" w:hAnsi="Times New Roman"/>
          <w:sz w:val="22"/>
          <w:szCs w:val="22"/>
        </w:rPr>
        <w:t>interamente eseguita</w:t>
      </w:r>
      <w:r w:rsidR="00020944" w:rsidRPr="008B129E">
        <w:rPr>
          <w:rFonts w:ascii="Times New Roman" w:hAnsi="Times New Roman"/>
          <w:sz w:val="22"/>
          <w:szCs w:val="22"/>
        </w:rPr>
        <w:t>.</w:t>
      </w:r>
    </w:p>
    <w:p w14:paraId="3B405D96" w14:textId="77777777" w:rsidR="000F5C52" w:rsidRPr="008B129E" w:rsidRDefault="000F5C52" w:rsidP="000F5C52">
      <w:pPr>
        <w:jc w:val="both"/>
        <w:rPr>
          <w:rFonts w:ascii="Times New Roman" w:hAnsi="Times New Roman"/>
          <w:sz w:val="22"/>
          <w:szCs w:val="22"/>
        </w:rPr>
      </w:pPr>
    </w:p>
    <w:p w14:paraId="56232B86" w14:textId="4A543F2C"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La programmazione </w:t>
      </w:r>
      <w:r w:rsidR="00020944" w:rsidRPr="008B129E">
        <w:rPr>
          <w:rFonts w:ascii="Times New Roman" w:hAnsi="Times New Roman"/>
          <w:sz w:val="22"/>
          <w:szCs w:val="22"/>
        </w:rPr>
        <w:t xml:space="preserve">delle assunzioni </w:t>
      </w:r>
      <w:r w:rsidRPr="008B129E">
        <w:rPr>
          <w:rFonts w:ascii="Times New Roman" w:hAnsi="Times New Roman"/>
          <w:sz w:val="22"/>
          <w:szCs w:val="22"/>
        </w:rPr>
        <w:t xml:space="preserve">per l’esercizio 2022 </w:t>
      </w:r>
      <w:r w:rsidR="00020944" w:rsidRPr="008B129E">
        <w:rPr>
          <w:rFonts w:ascii="Times New Roman" w:hAnsi="Times New Roman"/>
          <w:sz w:val="22"/>
          <w:szCs w:val="22"/>
        </w:rPr>
        <w:t xml:space="preserve">ha assorbito complessivamente risorse per € 63.159,77 ed è stata, anch’essa, integralmente </w:t>
      </w:r>
      <w:r w:rsidRPr="008B129E">
        <w:rPr>
          <w:rFonts w:ascii="Times New Roman" w:hAnsi="Times New Roman"/>
          <w:sz w:val="22"/>
          <w:szCs w:val="22"/>
        </w:rPr>
        <w:t>eseguita.</w:t>
      </w:r>
    </w:p>
    <w:p w14:paraId="1E499F81" w14:textId="77777777" w:rsidR="000F5C52" w:rsidRPr="008B129E" w:rsidRDefault="000F5C52" w:rsidP="000F5C52">
      <w:pPr>
        <w:jc w:val="both"/>
        <w:rPr>
          <w:rFonts w:ascii="Times New Roman" w:hAnsi="Times New Roman"/>
          <w:sz w:val="22"/>
          <w:szCs w:val="22"/>
        </w:rPr>
      </w:pPr>
    </w:p>
    <w:p w14:paraId="01BA70F4" w14:textId="749E9A6F"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 xml:space="preserve">La programmazione </w:t>
      </w:r>
      <w:r w:rsidR="00020944" w:rsidRPr="008B129E">
        <w:rPr>
          <w:rFonts w:ascii="Times New Roman" w:hAnsi="Times New Roman"/>
          <w:sz w:val="22"/>
          <w:szCs w:val="22"/>
        </w:rPr>
        <w:t xml:space="preserve">delle assunzioni </w:t>
      </w:r>
      <w:r w:rsidRPr="008B129E">
        <w:rPr>
          <w:rFonts w:ascii="Times New Roman" w:hAnsi="Times New Roman"/>
          <w:sz w:val="22"/>
          <w:szCs w:val="22"/>
        </w:rPr>
        <w:t xml:space="preserve">per l’esercizio 2023 </w:t>
      </w:r>
      <w:r w:rsidR="00020944" w:rsidRPr="008B129E">
        <w:rPr>
          <w:rFonts w:ascii="Times New Roman" w:hAnsi="Times New Roman"/>
          <w:sz w:val="22"/>
          <w:szCs w:val="22"/>
        </w:rPr>
        <w:t xml:space="preserve">ha assorbito complessivamente risorse per € 75.682,24 di cui € 6.876,00 finanziate dall’art. 13, co. 8, del CCNL 16/11/2022 per le cosiddette progressioni verticali in deroga. Relativamente alla suddetta programmazione si chiarisce che </w:t>
      </w:r>
      <w:r w:rsidRPr="008B129E">
        <w:rPr>
          <w:rFonts w:ascii="Times New Roman" w:hAnsi="Times New Roman"/>
          <w:sz w:val="22"/>
          <w:szCs w:val="22"/>
        </w:rPr>
        <w:t xml:space="preserve">solo una delle due figure di istruttore amministrativo contabile con accesso dall’esterno (utilizzo graduatoria propria/di altri enti) è stata acquisita </w:t>
      </w:r>
      <w:bookmarkStart w:id="5" w:name="_Hlk195268837"/>
      <w:r w:rsidR="00020944" w:rsidRPr="008B129E">
        <w:rPr>
          <w:rFonts w:ascii="Times New Roman" w:hAnsi="Times New Roman"/>
          <w:sz w:val="22"/>
          <w:szCs w:val="22"/>
        </w:rPr>
        <w:t xml:space="preserve">nel corso dell’esercizio </w:t>
      </w:r>
      <w:r w:rsidR="005202EB" w:rsidRPr="008B129E">
        <w:rPr>
          <w:rFonts w:ascii="Times New Roman" w:hAnsi="Times New Roman"/>
          <w:sz w:val="22"/>
          <w:szCs w:val="22"/>
        </w:rPr>
        <w:t xml:space="preserve">mentre la seconda procedura è stata completata nel mese di gennaio 2025 con sottoscrizione del contratto di lavoro </w:t>
      </w:r>
      <w:r w:rsidR="00306860" w:rsidRPr="008B129E">
        <w:rPr>
          <w:rFonts w:ascii="Times New Roman" w:hAnsi="Times New Roman"/>
          <w:sz w:val="22"/>
          <w:szCs w:val="22"/>
        </w:rPr>
        <w:t>decorrente dal 17 febbraio 2025;</w:t>
      </w:r>
      <w:r w:rsidR="005202EB" w:rsidRPr="008B129E">
        <w:rPr>
          <w:rFonts w:ascii="Times New Roman" w:hAnsi="Times New Roman"/>
          <w:sz w:val="22"/>
          <w:szCs w:val="22"/>
        </w:rPr>
        <w:t xml:space="preserve"> tutte le procedure di progressione verticale sono state bandite e </w:t>
      </w:r>
      <w:r w:rsidR="00306860" w:rsidRPr="008B129E">
        <w:rPr>
          <w:rFonts w:ascii="Times New Roman" w:hAnsi="Times New Roman"/>
          <w:sz w:val="22"/>
          <w:szCs w:val="22"/>
        </w:rPr>
        <w:t>completate nel corso del mese di febbraio 2025</w:t>
      </w:r>
      <w:r w:rsidR="005202EB" w:rsidRPr="008B129E">
        <w:rPr>
          <w:rFonts w:ascii="Times New Roman" w:hAnsi="Times New Roman"/>
          <w:sz w:val="22"/>
          <w:szCs w:val="22"/>
        </w:rPr>
        <w:t xml:space="preserve">  – per la procedura di progressione verticale per la copertura di due posti di istruttore di vigilanza ex art. 15 del CCNL FL 16/11/2022 è stata effettuata la copertura parziale di un solo posto.</w:t>
      </w:r>
    </w:p>
    <w:bookmarkEnd w:id="5"/>
    <w:p w14:paraId="688BE8BA" w14:textId="77777777" w:rsidR="000F5C52" w:rsidRPr="008B129E" w:rsidRDefault="000F5C52" w:rsidP="000F5C52">
      <w:pPr>
        <w:jc w:val="both"/>
        <w:rPr>
          <w:rFonts w:ascii="Times New Roman" w:hAnsi="Times New Roman"/>
          <w:sz w:val="22"/>
          <w:szCs w:val="22"/>
        </w:rPr>
      </w:pPr>
    </w:p>
    <w:p w14:paraId="5A6C083B" w14:textId="7F844D5F" w:rsidR="000F5C52" w:rsidRPr="008B129E" w:rsidRDefault="000F5C52" w:rsidP="000E51AB">
      <w:pPr>
        <w:jc w:val="both"/>
        <w:rPr>
          <w:rFonts w:ascii="Times New Roman" w:hAnsi="Times New Roman"/>
          <w:sz w:val="22"/>
          <w:szCs w:val="22"/>
        </w:rPr>
      </w:pPr>
      <w:r w:rsidRPr="008B129E">
        <w:rPr>
          <w:rFonts w:ascii="Times New Roman" w:hAnsi="Times New Roman"/>
          <w:sz w:val="22"/>
          <w:szCs w:val="22"/>
        </w:rPr>
        <w:t xml:space="preserve">La programmazione </w:t>
      </w:r>
      <w:r w:rsidR="000E51AB" w:rsidRPr="008B129E">
        <w:rPr>
          <w:rFonts w:ascii="Times New Roman" w:hAnsi="Times New Roman"/>
          <w:sz w:val="22"/>
          <w:szCs w:val="22"/>
        </w:rPr>
        <w:t xml:space="preserve">delle assunzioni </w:t>
      </w:r>
      <w:r w:rsidRPr="008B129E">
        <w:rPr>
          <w:rFonts w:ascii="Times New Roman" w:hAnsi="Times New Roman"/>
          <w:sz w:val="22"/>
          <w:szCs w:val="22"/>
        </w:rPr>
        <w:t xml:space="preserve">per l’esercizio 2024 </w:t>
      </w:r>
      <w:r w:rsidR="000E51AB" w:rsidRPr="008B129E">
        <w:rPr>
          <w:rFonts w:ascii="Times New Roman" w:hAnsi="Times New Roman"/>
          <w:sz w:val="22"/>
          <w:szCs w:val="22"/>
        </w:rPr>
        <w:t xml:space="preserve">ha assorbito complessivamente risorse per € 64.651,99 ed è stata completata nel corso del bimestre gennaio-febbraio 2025 con sottoscrizione dei relativi contratti entro il termine del 28 febbraio 2025; detta programmazione </w:t>
      </w:r>
      <w:r w:rsidRPr="008B129E">
        <w:rPr>
          <w:rFonts w:ascii="Times New Roman" w:hAnsi="Times New Roman"/>
          <w:sz w:val="22"/>
          <w:szCs w:val="22"/>
        </w:rPr>
        <w:t>prevedeva</w:t>
      </w:r>
      <w:r w:rsidR="000E51AB" w:rsidRPr="008B129E">
        <w:rPr>
          <w:rFonts w:ascii="Times New Roman" w:hAnsi="Times New Roman"/>
          <w:sz w:val="22"/>
          <w:szCs w:val="22"/>
        </w:rPr>
        <w:t>, tra le altre l’</w:t>
      </w:r>
      <w:r w:rsidR="000E51AB" w:rsidRPr="001B6244">
        <w:rPr>
          <w:rFonts w:ascii="Times New Roman" w:hAnsi="Times New Roman"/>
          <w:sz w:val="22"/>
          <w:szCs w:val="22"/>
        </w:rPr>
        <w:t xml:space="preserve">assunzione </w:t>
      </w:r>
      <w:proofErr w:type="spellStart"/>
      <w:r w:rsidR="000E51AB" w:rsidRPr="001B6244">
        <w:rPr>
          <w:rFonts w:ascii="Times New Roman" w:hAnsi="Times New Roman"/>
          <w:sz w:val="22"/>
          <w:szCs w:val="22"/>
        </w:rPr>
        <w:t>eterofinanziata</w:t>
      </w:r>
      <w:proofErr w:type="spellEnd"/>
      <w:r w:rsidR="000E51AB" w:rsidRPr="001B6244">
        <w:rPr>
          <w:rFonts w:ascii="Times New Roman" w:hAnsi="Times New Roman"/>
          <w:sz w:val="22"/>
          <w:szCs w:val="22"/>
        </w:rPr>
        <w:t xml:space="preserve"> ai sensi dell’articolo 1, co. </w:t>
      </w:r>
      <w:proofErr w:type="gramStart"/>
      <w:r w:rsidR="000E51AB" w:rsidRPr="001B6244">
        <w:rPr>
          <w:rFonts w:ascii="Times New Roman" w:hAnsi="Times New Roman"/>
          <w:sz w:val="22"/>
          <w:szCs w:val="22"/>
        </w:rPr>
        <w:t>449,  lett.</w:t>
      </w:r>
      <w:proofErr w:type="gramEnd"/>
      <w:r w:rsidR="000E51AB" w:rsidRPr="001B6244">
        <w:rPr>
          <w:rFonts w:ascii="Times New Roman" w:hAnsi="Times New Roman"/>
          <w:sz w:val="22"/>
          <w:szCs w:val="22"/>
        </w:rPr>
        <w:t xml:space="preserve"> d-quinquies, terzo periodo, della L. 232/2016</w:t>
      </w:r>
      <w:r w:rsidRPr="008B129E">
        <w:rPr>
          <w:rFonts w:ascii="Times New Roman" w:hAnsi="Times New Roman"/>
          <w:sz w:val="22"/>
          <w:szCs w:val="22"/>
        </w:rPr>
        <w:t xml:space="preserve"> </w:t>
      </w:r>
      <w:r w:rsidR="000E51AB" w:rsidRPr="008B129E">
        <w:rPr>
          <w:rFonts w:ascii="Times New Roman" w:hAnsi="Times New Roman"/>
          <w:sz w:val="22"/>
          <w:szCs w:val="22"/>
        </w:rPr>
        <w:t xml:space="preserve">di una unità di funzionario assistente sociale e </w:t>
      </w:r>
      <w:proofErr w:type="gramStart"/>
      <w:r w:rsidR="000E51AB" w:rsidRPr="008B129E">
        <w:rPr>
          <w:rFonts w:ascii="Times New Roman" w:hAnsi="Times New Roman"/>
          <w:sz w:val="22"/>
          <w:szCs w:val="22"/>
        </w:rPr>
        <w:t>l’</w:t>
      </w:r>
      <w:r w:rsidR="000E51AB" w:rsidRPr="001B6244">
        <w:rPr>
          <w:rFonts w:ascii="Times New Roman" w:hAnsi="Times New Roman"/>
          <w:sz w:val="22"/>
          <w:szCs w:val="22"/>
        </w:rPr>
        <w:t xml:space="preserve"> assunzione</w:t>
      </w:r>
      <w:proofErr w:type="gramEnd"/>
      <w:r w:rsidR="000E51AB" w:rsidRPr="001B6244">
        <w:rPr>
          <w:rFonts w:ascii="Times New Roman" w:hAnsi="Times New Roman"/>
          <w:sz w:val="22"/>
          <w:szCs w:val="22"/>
        </w:rPr>
        <w:t xml:space="preserve"> </w:t>
      </w:r>
      <w:proofErr w:type="spellStart"/>
      <w:r w:rsidR="000E51AB" w:rsidRPr="001B6244">
        <w:rPr>
          <w:rFonts w:ascii="Times New Roman" w:hAnsi="Times New Roman"/>
          <w:sz w:val="22"/>
          <w:szCs w:val="22"/>
        </w:rPr>
        <w:t>eterofinanziata</w:t>
      </w:r>
      <w:proofErr w:type="spellEnd"/>
      <w:r w:rsidR="000E51AB" w:rsidRPr="001B6244">
        <w:rPr>
          <w:rFonts w:ascii="Times New Roman" w:hAnsi="Times New Roman"/>
          <w:sz w:val="22"/>
          <w:szCs w:val="22"/>
        </w:rPr>
        <w:t xml:space="preserve"> ai </w:t>
      </w:r>
      <w:proofErr w:type="gramStart"/>
      <w:r w:rsidR="000E51AB" w:rsidRPr="001B6244">
        <w:rPr>
          <w:rFonts w:ascii="Times New Roman" w:hAnsi="Times New Roman"/>
          <w:sz w:val="22"/>
          <w:szCs w:val="22"/>
        </w:rPr>
        <w:t>sensi  dell’articolo</w:t>
      </w:r>
      <w:proofErr w:type="gramEnd"/>
      <w:r w:rsidR="000E51AB" w:rsidRPr="001B6244">
        <w:rPr>
          <w:rFonts w:ascii="Times New Roman" w:hAnsi="Times New Roman"/>
          <w:sz w:val="22"/>
          <w:szCs w:val="22"/>
        </w:rPr>
        <w:t xml:space="preserve"> 19 del </w:t>
      </w:r>
      <w:proofErr w:type="spellStart"/>
      <w:r w:rsidR="000E51AB" w:rsidRPr="001B6244">
        <w:rPr>
          <w:rFonts w:ascii="Times New Roman" w:hAnsi="Times New Roman"/>
          <w:sz w:val="22"/>
          <w:szCs w:val="22"/>
        </w:rPr>
        <w:t>d.l.</w:t>
      </w:r>
      <w:proofErr w:type="spellEnd"/>
      <w:r w:rsidR="000E51AB" w:rsidRPr="001B6244">
        <w:rPr>
          <w:rFonts w:ascii="Times New Roman" w:hAnsi="Times New Roman"/>
          <w:sz w:val="22"/>
          <w:szCs w:val="22"/>
        </w:rPr>
        <w:t xml:space="preserve"> n. 124/2023 e del decreto attuativo, n. 670/2023, del Dipartimento per le politiche di coesione</w:t>
      </w:r>
      <w:r w:rsidR="000E51AB" w:rsidRPr="008B129E">
        <w:rPr>
          <w:rFonts w:ascii="Times New Roman" w:hAnsi="Times New Roman"/>
          <w:sz w:val="22"/>
          <w:szCs w:val="22"/>
        </w:rPr>
        <w:t xml:space="preserve"> che è stata rinviata all’esercizio 2025</w:t>
      </w:r>
    </w:p>
    <w:p w14:paraId="7D84960C" w14:textId="77777777" w:rsidR="000F5C52" w:rsidRPr="008B129E" w:rsidRDefault="000F5C52" w:rsidP="000F5C52">
      <w:pPr>
        <w:jc w:val="both"/>
        <w:rPr>
          <w:rFonts w:ascii="Times New Roman" w:hAnsi="Times New Roman"/>
          <w:sz w:val="22"/>
          <w:szCs w:val="22"/>
        </w:rPr>
      </w:pPr>
    </w:p>
    <w:p w14:paraId="210BDDC8"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La programmazione per l’esercizio 2025 prevede le seguenti assunzioni:</w:t>
      </w:r>
    </w:p>
    <w:p w14:paraId="5F481619" w14:textId="77777777" w:rsidR="000F5C52" w:rsidRPr="008B129E" w:rsidRDefault="000F5C52" w:rsidP="000F5C52">
      <w:pPr>
        <w:jc w:val="both"/>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
        <w:gridCol w:w="674"/>
        <w:gridCol w:w="2031"/>
        <w:gridCol w:w="2034"/>
        <w:gridCol w:w="2010"/>
        <w:gridCol w:w="340"/>
        <w:gridCol w:w="488"/>
        <w:gridCol w:w="488"/>
        <w:gridCol w:w="686"/>
        <w:gridCol w:w="488"/>
      </w:tblGrid>
      <w:tr w:rsidR="000F5C52" w:rsidRPr="008B129E" w14:paraId="41260AC1" w14:textId="77777777" w:rsidTr="000E51AB">
        <w:trPr>
          <w:trHeight w:val="300"/>
        </w:trPr>
        <w:tc>
          <w:tcPr>
            <w:tcW w:w="207" w:type="pct"/>
            <w:noWrap/>
            <w:vAlign w:val="center"/>
            <w:hideMark/>
          </w:tcPr>
          <w:p w14:paraId="6B84B21E" w14:textId="77777777" w:rsidR="000F5C52" w:rsidRPr="008B129E" w:rsidRDefault="000F5C52" w:rsidP="00AF6439">
            <w:pPr>
              <w:rPr>
                <w:rFonts w:ascii="Times New Roman" w:hAnsi="Times New Roman"/>
                <w:sz w:val="22"/>
                <w:szCs w:val="22"/>
                <w:lang w:eastAsia="it-IT"/>
              </w:rPr>
            </w:pPr>
          </w:p>
        </w:tc>
        <w:tc>
          <w:tcPr>
            <w:tcW w:w="355" w:type="pct"/>
            <w:noWrap/>
            <w:vAlign w:val="center"/>
            <w:hideMark/>
          </w:tcPr>
          <w:p w14:paraId="5CB21E76" w14:textId="77777777" w:rsidR="000F5C52" w:rsidRPr="008B129E" w:rsidRDefault="000F5C52" w:rsidP="00AF6439">
            <w:pPr>
              <w:rPr>
                <w:rFonts w:ascii="Times New Roman" w:hAnsi="Times New Roman"/>
                <w:sz w:val="22"/>
                <w:szCs w:val="22"/>
                <w:lang w:eastAsia="it-IT"/>
              </w:rPr>
            </w:pPr>
          </w:p>
        </w:tc>
        <w:tc>
          <w:tcPr>
            <w:tcW w:w="1060" w:type="pct"/>
            <w:noWrap/>
            <w:vAlign w:val="center"/>
            <w:hideMark/>
          </w:tcPr>
          <w:p w14:paraId="38476E8F" w14:textId="77777777" w:rsidR="000F5C52" w:rsidRPr="008B129E" w:rsidRDefault="000F5C52" w:rsidP="00AF6439">
            <w:pPr>
              <w:rPr>
                <w:rFonts w:ascii="Times New Roman" w:hAnsi="Times New Roman"/>
                <w:sz w:val="22"/>
                <w:szCs w:val="22"/>
                <w:lang w:eastAsia="it-IT"/>
              </w:rPr>
            </w:pPr>
          </w:p>
        </w:tc>
        <w:tc>
          <w:tcPr>
            <w:tcW w:w="1060" w:type="pct"/>
            <w:noWrap/>
            <w:vAlign w:val="center"/>
            <w:hideMark/>
          </w:tcPr>
          <w:p w14:paraId="276927B0" w14:textId="77777777" w:rsidR="000F5C52" w:rsidRPr="008B129E" w:rsidRDefault="000F5C52" w:rsidP="00AF6439">
            <w:pPr>
              <w:rPr>
                <w:rFonts w:ascii="Times New Roman" w:hAnsi="Times New Roman"/>
                <w:sz w:val="22"/>
                <w:szCs w:val="22"/>
                <w:lang w:eastAsia="it-IT"/>
              </w:rPr>
            </w:pPr>
          </w:p>
        </w:tc>
        <w:tc>
          <w:tcPr>
            <w:tcW w:w="1001" w:type="pct"/>
            <w:noWrap/>
            <w:vAlign w:val="center"/>
            <w:hideMark/>
          </w:tcPr>
          <w:p w14:paraId="08244636" w14:textId="77777777" w:rsidR="000F5C52" w:rsidRPr="008B129E" w:rsidRDefault="000F5C52" w:rsidP="00AF6439">
            <w:pPr>
              <w:jc w:val="center"/>
              <w:rPr>
                <w:rFonts w:ascii="Times New Roman" w:hAnsi="Times New Roman"/>
                <w:color w:val="000000"/>
                <w:sz w:val="22"/>
                <w:szCs w:val="22"/>
                <w:lang w:eastAsia="it-IT"/>
              </w:rPr>
            </w:pPr>
            <w:r w:rsidRPr="008B129E">
              <w:rPr>
                <w:rFonts w:ascii="Times New Roman" w:hAnsi="Times New Roman"/>
                <w:color w:val="000000"/>
                <w:sz w:val="22"/>
                <w:szCs w:val="22"/>
                <w:lang w:eastAsia="it-IT"/>
              </w:rPr>
              <w:t>2025</w:t>
            </w:r>
          </w:p>
        </w:tc>
        <w:tc>
          <w:tcPr>
            <w:tcW w:w="181" w:type="pct"/>
            <w:noWrap/>
            <w:vAlign w:val="center"/>
            <w:hideMark/>
          </w:tcPr>
          <w:p w14:paraId="72A62CBA" w14:textId="77777777" w:rsidR="000F5C52" w:rsidRPr="008B129E" w:rsidRDefault="000F5C52" w:rsidP="00AF6439">
            <w:pPr>
              <w:jc w:val="center"/>
              <w:rPr>
                <w:rFonts w:ascii="Times New Roman" w:hAnsi="Times New Roman"/>
                <w:color w:val="000000"/>
                <w:sz w:val="22"/>
                <w:szCs w:val="22"/>
                <w:lang w:eastAsia="it-IT"/>
              </w:rPr>
            </w:pPr>
          </w:p>
        </w:tc>
        <w:tc>
          <w:tcPr>
            <w:tcW w:w="258" w:type="pct"/>
            <w:noWrap/>
            <w:vAlign w:val="center"/>
            <w:hideMark/>
          </w:tcPr>
          <w:p w14:paraId="6C0ED4BA" w14:textId="77777777" w:rsidR="000F5C52" w:rsidRPr="008B129E" w:rsidRDefault="000F5C52" w:rsidP="00AF6439">
            <w:pPr>
              <w:rPr>
                <w:rFonts w:ascii="Times New Roman" w:hAnsi="Times New Roman"/>
                <w:sz w:val="22"/>
                <w:szCs w:val="22"/>
                <w:lang w:eastAsia="it-IT"/>
              </w:rPr>
            </w:pPr>
          </w:p>
        </w:tc>
        <w:tc>
          <w:tcPr>
            <w:tcW w:w="258" w:type="pct"/>
            <w:noWrap/>
            <w:vAlign w:val="center"/>
            <w:hideMark/>
          </w:tcPr>
          <w:p w14:paraId="1003D8D6" w14:textId="77777777" w:rsidR="000F5C52" w:rsidRPr="008B129E" w:rsidRDefault="000F5C52" w:rsidP="00AF6439">
            <w:pPr>
              <w:rPr>
                <w:rFonts w:ascii="Times New Roman" w:hAnsi="Times New Roman"/>
                <w:sz w:val="22"/>
                <w:szCs w:val="22"/>
                <w:lang w:eastAsia="it-IT"/>
              </w:rPr>
            </w:pPr>
          </w:p>
        </w:tc>
        <w:tc>
          <w:tcPr>
            <w:tcW w:w="361" w:type="pct"/>
            <w:noWrap/>
            <w:vAlign w:val="center"/>
            <w:hideMark/>
          </w:tcPr>
          <w:p w14:paraId="7EA2478E" w14:textId="77777777" w:rsidR="000F5C52" w:rsidRPr="008B129E" w:rsidRDefault="000F5C52" w:rsidP="00AF6439">
            <w:pPr>
              <w:rPr>
                <w:rFonts w:ascii="Times New Roman" w:hAnsi="Times New Roman"/>
                <w:sz w:val="22"/>
                <w:szCs w:val="22"/>
                <w:lang w:eastAsia="it-IT"/>
              </w:rPr>
            </w:pPr>
          </w:p>
        </w:tc>
        <w:tc>
          <w:tcPr>
            <w:tcW w:w="258" w:type="pct"/>
            <w:noWrap/>
            <w:vAlign w:val="center"/>
            <w:hideMark/>
          </w:tcPr>
          <w:p w14:paraId="32A00D2B" w14:textId="77777777" w:rsidR="000F5C52" w:rsidRPr="008B129E" w:rsidRDefault="000F5C52" w:rsidP="00AF6439">
            <w:pPr>
              <w:rPr>
                <w:rFonts w:ascii="Times New Roman" w:hAnsi="Times New Roman"/>
                <w:sz w:val="22"/>
                <w:szCs w:val="22"/>
                <w:lang w:eastAsia="it-IT"/>
              </w:rPr>
            </w:pPr>
          </w:p>
        </w:tc>
      </w:tr>
      <w:tr w:rsidR="000F5C52" w:rsidRPr="008B129E" w14:paraId="189ECC90" w14:textId="77777777" w:rsidTr="000E51AB">
        <w:trPr>
          <w:trHeight w:val="300"/>
        </w:trPr>
        <w:tc>
          <w:tcPr>
            <w:tcW w:w="2683" w:type="pct"/>
            <w:gridSpan w:val="4"/>
            <w:noWrap/>
            <w:vAlign w:val="center"/>
            <w:hideMark/>
          </w:tcPr>
          <w:p w14:paraId="6B7769AC" w14:textId="77777777" w:rsidR="000F5C52" w:rsidRPr="008B129E" w:rsidRDefault="000F5C52" w:rsidP="00AF6439">
            <w:pPr>
              <w:jc w:val="right"/>
              <w:rPr>
                <w:rFonts w:ascii="Times New Roman" w:hAnsi="Times New Roman"/>
                <w:color w:val="000000"/>
                <w:sz w:val="22"/>
                <w:szCs w:val="22"/>
                <w:lang w:eastAsia="it-IT"/>
              </w:rPr>
            </w:pPr>
            <w:r w:rsidRPr="008B129E">
              <w:rPr>
                <w:rFonts w:ascii="Times New Roman" w:hAnsi="Times New Roman"/>
                <w:color w:val="000000"/>
                <w:sz w:val="22"/>
                <w:szCs w:val="22"/>
                <w:lang w:eastAsia="it-IT"/>
              </w:rPr>
              <w:t>risorse residue piano 2024</w:t>
            </w:r>
          </w:p>
        </w:tc>
        <w:tc>
          <w:tcPr>
            <w:tcW w:w="1001" w:type="pct"/>
            <w:noWrap/>
            <w:vAlign w:val="center"/>
            <w:hideMark/>
          </w:tcPr>
          <w:p w14:paraId="5F1DEA56" w14:textId="77777777" w:rsidR="000F5C52" w:rsidRPr="008B129E" w:rsidRDefault="000F5C52" w:rsidP="00AF6439">
            <w:pPr>
              <w:rPr>
                <w:rFonts w:ascii="Times New Roman" w:hAnsi="Times New Roman"/>
                <w:color w:val="000000"/>
                <w:sz w:val="22"/>
                <w:szCs w:val="22"/>
                <w:lang w:eastAsia="it-IT"/>
              </w:rPr>
            </w:pPr>
            <w:r w:rsidRPr="008B129E">
              <w:rPr>
                <w:rFonts w:ascii="Times New Roman" w:hAnsi="Times New Roman"/>
                <w:color w:val="000000"/>
                <w:sz w:val="22"/>
                <w:szCs w:val="22"/>
                <w:lang w:eastAsia="it-IT"/>
              </w:rPr>
              <w:t xml:space="preserve"> €              68.601,87 </w:t>
            </w:r>
          </w:p>
        </w:tc>
        <w:tc>
          <w:tcPr>
            <w:tcW w:w="181" w:type="pct"/>
            <w:noWrap/>
            <w:vAlign w:val="center"/>
            <w:hideMark/>
          </w:tcPr>
          <w:p w14:paraId="19B3D304" w14:textId="77777777" w:rsidR="000F5C52" w:rsidRPr="008B129E" w:rsidRDefault="000F5C52" w:rsidP="00AF6439">
            <w:pPr>
              <w:rPr>
                <w:rFonts w:ascii="Times New Roman" w:hAnsi="Times New Roman"/>
                <w:color w:val="000000"/>
                <w:sz w:val="22"/>
                <w:szCs w:val="22"/>
                <w:lang w:eastAsia="it-IT"/>
              </w:rPr>
            </w:pPr>
          </w:p>
        </w:tc>
        <w:tc>
          <w:tcPr>
            <w:tcW w:w="258" w:type="pct"/>
            <w:noWrap/>
            <w:vAlign w:val="center"/>
            <w:hideMark/>
          </w:tcPr>
          <w:p w14:paraId="22B2F7E7" w14:textId="77777777" w:rsidR="000F5C52" w:rsidRPr="008B129E" w:rsidRDefault="000F5C52" w:rsidP="00AF6439">
            <w:pPr>
              <w:rPr>
                <w:rFonts w:ascii="Times New Roman" w:hAnsi="Times New Roman"/>
                <w:sz w:val="22"/>
                <w:szCs w:val="22"/>
                <w:lang w:eastAsia="it-IT"/>
              </w:rPr>
            </w:pPr>
          </w:p>
        </w:tc>
        <w:tc>
          <w:tcPr>
            <w:tcW w:w="258" w:type="pct"/>
            <w:noWrap/>
            <w:vAlign w:val="center"/>
            <w:hideMark/>
          </w:tcPr>
          <w:p w14:paraId="46DD1C47" w14:textId="77777777" w:rsidR="000F5C52" w:rsidRPr="008B129E" w:rsidRDefault="000F5C52" w:rsidP="00AF6439">
            <w:pPr>
              <w:rPr>
                <w:rFonts w:ascii="Times New Roman" w:hAnsi="Times New Roman"/>
                <w:sz w:val="22"/>
                <w:szCs w:val="22"/>
                <w:lang w:eastAsia="it-IT"/>
              </w:rPr>
            </w:pPr>
          </w:p>
        </w:tc>
        <w:tc>
          <w:tcPr>
            <w:tcW w:w="361" w:type="pct"/>
            <w:noWrap/>
            <w:vAlign w:val="center"/>
            <w:hideMark/>
          </w:tcPr>
          <w:p w14:paraId="2B92B4F3" w14:textId="77777777" w:rsidR="000F5C52" w:rsidRPr="008B129E" w:rsidRDefault="000F5C52" w:rsidP="00AF6439">
            <w:pPr>
              <w:rPr>
                <w:rFonts w:ascii="Times New Roman" w:hAnsi="Times New Roman"/>
                <w:sz w:val="22"/>
                <w:szCs w:val="22"/>
                <w:lang w:eastAsia="it-IT"/>
              </w:rPr>
            </w:pPr>
          </w:p>
        </w:tc>
        <w:tc>
          <w:tcPr>
            <w:tcW w:w="258" w:type="pct"/>
            <w:noWrap/>
            <w:vAlign w:val="center"/>
            <w:hideMark/>
          </w:tcPr>
          <w:p w14:paraId="363489FF" w14:textId="77777777" w:rsidR="000F5C52" w:rsidRPr="008B129E" w:rsidRDefault="000F5C52" w:rsidP="00AF6439">
            <w:pPr>
              <w:rPr>
                <w:rFonts w:ascii="Times New Roman" w:hAnsi="Times New Roman"/>
                <w:sz w:val="22"/>
                <w:szCs w:val="22"/>
                <w:lang w:eastAsia="it-IT"/>
              </w:rPr>
            </w:pPr>
          </w:p>
        </w:tc>
      </w:tr>
      <w:tr w:rsidR="000F5C52" w:rsidRPr="008B129E" w14:paraId="18492436" w14:textId="77777777" w:rsidTr="000E51AB">
        <w:trPr>
          <w:trHeight w:val="300"/>
        </w:trPr>
        <w:tc>
          <w:tcPr>
            <w:tcW w:w="2683" w:type="pct"/>
            <w:gridSpan w:val="4"/>
            <w:noWrap/>
            <w:vAlign w:val="center"/>
            <w:hideMark/>
          </w:tcPr>
          <w:p w14:paraId="1F1A6A62" w14:textId="77777777" w:rsidR="000F5C52" w:rsidRPr="008B129E" w:rsidRDefault="000F5C52" w:rsidP="00AF6439">
            <w:pPr>
              <w:jc w:val="right"/>
              <w:rPr>
                <w:rFonts w:ascii="Times New Roman" w:hAnsi="Times New Roman"/>
                <w:color w:val="000000"/>
                <w:sz w:val="22"/>
                <w:szCs w:val="22"/>
                <w:lang w:eastAsia="it-IT"/>
              </w:rPr>
            </w:pPr>
            <w:r w:rsidRPr="008B129E">
              <w:rPr>
                <w:rFonts w:ascii="Times New Roman" w:hAnsi="Times New Roman"/>
                <w:color w:val="000000"/>
                <w:sz w:val="22"/>
                <w:szCs w:val="22"/>
                <w:lang w:eastAsia="it-IT"/>
              </w:rPr>
              <w:t>risorse derivanti da cessazioni 2024</w:t>
            </w:r>
          </w:p>
        </w:tc>
        <w:tc>
          <w:tcPr>
            <w:tcW w:w="1001" w:type="pct"/>
            <w:noWrap/>
            <w:vAlign w:val="center"/>
            <w:hideMark/>
          </w:tcPr>
          <w:p w14:paraId="537002AC" w14:textId="77777777" w:rsidR="000F5C52" w:rsidRPr="008B129E" w:rsidRDefault="000F5C52" w:rsidP="00AF6439">
            <w:pPr>
              <w:rPr>
                <w:rFonts w:ascii="Times New Roman" w:hAnsi="Times New Roman"/>
                <w:color w:val="000000"/>
                <w:sz w:val="22"/>
                <w:szCs w:val="22"/>
                <w:lang w:eastAsia="it-IT"/>
              </w:rPr>
            </w:pPr>
            <w:r w:rsidRPr="008B129E">
              <w:rPr>
                <w:rFonts w:ascii="Times New Roman" w:hAnsi="Times New Roman"/>
                <w:color w:val="000000"/>
                <w:sz w:val="22"/>
                <w:szCs w:val="22"/>
                <w:lang w:eastAsia="it-IT"/>
              </w:rPr>
              <w:t xml:space="preserve"> €            136.535,24 </w:t>
            </w:r>
          </w:p>
        </w:tc>
        <w:tc>
          <w:tcPr>
            <w:tcW w:w="181" w:type="pct"/>
            <w:noWrap/>
            <w:vAlign w:val="center"/>
            <w:hideMark/>
          </w:tcPr>
          <w:p w14:paraId="0B236EDB" w14:textId="77777777" w:rsidR="000F5C52" w:rsidRPr="008B129E" w:rsidRDefault="000F5C52" w:rsidP="00AF6439">
            <w:pPr>
              <w:rPr>
                <w:rFonts w:ascii="Times New Roman" w:hAnsi="Times New Roman"/>
                <w:color w:val="000000"/>
                <w:sz w:val="22"/>
                <w:szCs w:val="22"/>
                <w:lang w:eastAsia="it-IT"/>
              </w:rPr>
            </w:pPr>
          </w:p>
        </w:tc>
        <w:tc>
          <w:tcPr>
            <w:tcW w:w="258" w:type="pct"/>
            <w:noWrap/>
            <w:vAlign w:val="center"/>
            <w:hideMark/>
          </w:tcPr>
          <w:p w14:paraId="69609063" w14:textId="77777777" w:rsidR="000F5C52" w:rsidRPr="008B129E" w:rsidRDefault="000F5C52" w:rsidP="00AF6439">
            <w:pPr>
              <w:rPr>
                <w:rFonts w:ascii="Times New Roman" w:hAnsi="Times New Roman"/>
                <w:sz w:val="22"/>
                <w:szCs w:val="22"/>
                <w:lang w:eastAsia="it-IT"/>
              </w:rPr>
            </w:pPr>
          </w:p>
        </w:tc>
        <w:tc>
          <w:tcPr>
            <w:tcW w:w="258" w:type="pct"/>
            <w:noWrap/>
            <w:vAlign w:val="center"/>
            <w:hideMark/>
          </w:tcPr>
          <w:p w14:paraId="38901516" w14:textId="77777777" w:rsidR="000F5C52" w:rsidRPr="008B129E" w:rsidRDefault="000F5C52" w:rsidP="00AF6439">
            <w:pPr>
              <w:rPr>
                <w:rFonts w:ascii="Times New Roman" w:hAnsi="Times New Roman"/>
                <w:sz w:val="22"/>
                <w:szCs w:val="22"/>
                <w:lang w:eastAsia="it-IT"/>
              </w:rPr>
            </w:pPr>
          </w:p>
        </w:tc>
        <w:tc>
          <w:tcPr>
            <w:tcW w:w="361" w:type="pct"/>
            <w:noWrap/>
            <w:vAlign w:val="center"/>
            <w:hideMark/>
          </w:tcPr>
          <w:p w14:paraId="0A85AEC8" w14:textId="77777777" w:rsidR="000F5C52" w:rsidRPr="008B129E" w:rsidRDefault="000F5C52" w:rsidP="00AF6439">
            <w:pPr>
              <w:rPr>
                <w:rFonts w:ascii="Times New Roman" w:hAnsi="Times New Roman"/>
                <w:sz w:val="22"/>
                <w:szCs w:val="22"/>
                <w:lang w:eastAsia="it-IT"/>
              </w:rPr>
            </w:pPr>
          </w:p>
        </w:tc>
        <w:tc>
          <w:tcPr>
            <w:tcW w:w="258" w:type="pct"/>
            <w:noWrap/>
            <w:vAlign w:val="center"/>
            <w:hideMark/>
          </w:tcPr>
          <w:p w14:paraId="458EF490" w14:textId="77777777" w:rsidR="000F5C52" w:rsidRPr="008B129E" w:rsidRDefault="000F5C52" w:rsidP="00AF6439">
            <w:pPr>
              <w:rPr>
                <w:rFonts w:ascii="Times New Roman" w:hAnsi="Times New Roman"/>
                <w:sz w:val="22"/>
                <w:szCs w:val="22"/>
                <w:lang w:eastAsia="it-IT"/>
              </w:rPr>
            </w:pPr>
          </w:p>
        </w:tc>
      </w:tr>
      <w:tr w:rsidR="000F5C52" w:rsidRPr="008B129E" w14:paraId="3E04625F" w14:textId="77777777" w:rsidTr="000E51AB">
        <w:trPr>
          <w:trHeight w:val="300"/>
        </w:trPr>
        <w:tc>
          <w:tcPr>
            <w:tcW w:w="207" w:type="pct"/>
            <w:noWrap/>
            <w:vAlign w:val="center"/>
            <w:hideMark/>
          </w:tcPr>
          <w:p w14:paraId="48FEF4AC" w14:textId="77777777" w:rsidR="000F5C52" w:rsidRPr="008B129E" w:rsidRDefault="000F5C52" w:rsidP="00AF6439">
            <w:pPr>
              <w:rPr>
                <w:rFonts w:ascii="Times New Roman" w:hAnsi="Times New Roman"/>
                <w:sz w:val="22"/>
                <w:szCs w:val="22"/>
                <w:lang w:eastAsia="it-IT"/>
              </w:rPr>
            </w:pPr>
          </w:p>
        </w:tc>
        <w:tc>
          <w:tcPr>
            <w:tcW w:w="355" w:type="pct"/>
            <w:noWrap/>
            <w:vAlign w:val="center"/>
            <w:hideMark/>
          </w:tcPr>
          <w:p w14:paraId="77FD4824" w14:textId="77777777" w:rsidR="000F5C52" w:rsidRPr="008B129E" w:rsidRDefault="000F5C52" w:rsidP="00AF6439">
            <w:pPr>
              <w:jc w:val="right"/>
              <w:rPr>
                <w:rFonts w:ascii="Times New Roman" w:hAnsi="Times New Roman"/>
                <w:sz w:val="22"/>
                <w:szCs w:val="22"/>
                <w:lang w:eastAsia="it-IT"/>
              </w:rPr>
            </w:pPr>
          </w:p>
        </w:tc>
        <w:tc>
          <w:tcPr>
            <w:tcW w:w="1060" w:type="pct"/>
            <w:noWrap/>
            <w:vAlign w:val="center"/>
            <w:hideMark/>
          </w:tcPr>
          <w:p w14:paraId="4AC58F3A" w14:textId="77777777" w:rsidR="000F5C52" w:rsidRPr="008B129E" w:rsidRDefault="000F5C52" w:rsidP="00AF6439">
            <w:pPr>
              <w:jc w:val="right"/>
              <w:rPr>
                <w:rFonts w:ascii="Times New Roman" w:hAnsi="Times New Roman"/>
                <w:sz w:val="22"/>
                <w:szCs w:val="22"/>
                <w:lang w:eastAsia="it-IT"/>
              </w:rPr>
            </w:pPr>
          </w:p>
        </w:tc>
        <w:tc>
          <w:tcPr>
            <w:tcW w:w="1060" w:type="pct"/>
            <w:noWrap/>
            <w:vAlign w:val="center"/>
            <w:hideMark/>
          </w:tcPr>
          <w:p w14:paraId="1814918B" w14:textId="77777777" w:rsidR="000F5C52" w:rsidRPr="008B129E" w:rsidRDefault="000F5C52" w:rsidP="00AF6439">
            <w:pPr>
              <w:jc w:val="right"/>
              <w:rPr>
                <w:rFonts w:ascii="Times New Roman" w:hAnsi="Times New Roman"/>
                <w:color w:val="000000"/>
                <w:sz w:val="22"/>
                <w:szCs w:val="22"/>
                <w:lang w:eastAsia="it-IT"/>
              </w:rPr>
            </w:pPr>
            <w:r w:rsidRPr="008B129E">
              <w:rPr>
                <w:rFonts w:ascii="Times New Roman" w:hAnsi="Times New Roman"/>
                <w:color w:val="000000"/>
                <w:sz w:val="22"/>
                <w:szCs w:val="22"/>
                <w:lang w:eastAsia="it-IT"/>
              </w:rPr>
              <w:t>risorse disp.</w:t>
            </w:r>
          </w:p>
        </w:tc>
        <w:tc>
          <w:tcPr>
            <w:tcW w:w="1001" w:type="pct"/>
            <w:noWrap/>
            <w:vAlign w:val="center"/>
            <w:hideMark/>
          </w:tcPr>
          <w:p w14:paraId="6820436E" w14:textId="77777777" w:rsidR="000F5C52" w:rsidRPr="008B129E" w:rsidRDefault="000F5C52" w:rsidP="00AF6439">
            <w:pPr>
              <w:rPr>
                <w:rFonts w:ascii="Times New Roman" w:hAnsi="Times New Roman"/>
                <w:color w:val="000000"/>
                <w:sz w:val="22"/>
                <w:szCs w:val="22"/>
                <w:lang w:eastAsia="it-IT"/>
              </w:rPr>
            </w:pPr>
            <w:r w:rsidRPr="008B129E">
              <w:rPr>
                <w:rFonts w:ascii="Times New Roman" w:hAnsi="Times New Roman"/>
                <w:color w:val="000000"/>
                <w:sz w:val="22"/>
                <w:szCs w:val="22"/>
                <w:lang w:eastAsia="it-IT"/>
              </w:rPr>
              <w:t xml:space="preserve"> €            205.137,11 </w:t>
            </w:r>
          </w:p>
        </w:tc>
        <w:tc>
          <w:tcPr>
            <w:tcW w:w="181" w:type="pct"/>
            <w:noWrap/>
            <w:vAlign w:val="center"/>
            <w:hideMark/>
          </w:tcPr>
          <w:p w14:paraId="38C7CD2B" w14:textId="77777777" w:rsidR="000F5C52" w:rsidRPr="008B129E" w:rsidRDefault="000F5C52" w:rsidP="00AF6439">
            <w:pPr>
              <w:rPr>
                <w:rFonts w:ascii="Times New Roman" w:hAnsi="Times New Roman"/>
                <w:color w:val="000000"/>
                <w:sz w:val="22"/>
                <w:szCs w:val="22"/>
                <w:lang w:eastAsia="it-IT"/>
              </w:rPr>
            </w:pPr>
          </w:p>
        </w:tc>
        <w:tc>
          <w:tcPr>
            <w:tcW w:w="258" w:type="pct"/>
            <w:noWrap/>
            <w:vAlign w:val="center"/>
            <w:hideMark/>
          </w:tcPr>
          <w:p w14:paraId="6416CE46" w14:textId="77777777" w:rsidR="000F5C52" w:rsidRPr="008B129E" w:rsidRDefault="000F5C52" w:rsidP="00AF6439">
            <w:pPr>
              <w:rPr>
                <w:rFonts w:ascii="Times New Roman" w:hAnsi="Times New Roman"/>
                <w:sz w:val="22"/>
                <w:szCs w:val="22"/>
                <w:lang w:eastAsia="it-IT"/>
              </w:rPr>
            </w:pPr>
          </w:p>
        </w:tc>
        <w:tc>
          <w:tcPr>
            <w:tcW w:w="258" w:type="pct"/>
            <w:noWrap/>
            <w:vAlign w:val="center"/>
            <w:hideMark/>
          </w:tcPr>
          <w:p w14:paraId="59F44399" w14:textId="77777777" w:rsidR="000F5C52" w:rsidRPr="008B129E" w:rsidRDefault="000F5C52" w:rsidP="00AF6439">
            <w:pPr>
              <w:rPr>
                <w:rFonts w:ascii="Times New Roman" w:hAnsi="Times New Roman"/>
                <w:sz w:val="22"/>
                <w:szCs w:val="22"/>
                <w:lang w:eastAsia="it-IT"/>
              </w:rPr>
            </w:pPr>
          </w:p>
        </w:tc>
        <w:tc>
          <w:tcPr>
            <w:tcW w:w="361" w:type="pct"/>
            <w:noWrap/>
            <w:vAlign w:val="center"/>
            <w:hideMark/>
          </w:tcPr>
          <w:p w14:paraId="0AD21B34" w14:textId="77777777" w:rsidR="000F5C52" w:rsidRPr="008B129E" w:rsidRDefault="000F5C52" w:rsidP="00AF6439">
            <w:pPr>
              <w:rPr>
                <w:rFonts w:ascii="Times New Roman" w:hAnsi="Times New Roman"/>
                <w:sz w:val="22"/>
                <w:szCs w:val="22"/>
                <w:lang w:eastAsia="it-IT"/>
              </w:rPr>
            </w:pPr>
          </w:p>
        </w:tc>
        <w:tc>
          <w:tcPr>
            <w:tcW w:w="258" w:type="pct"/>
            <w:noWrap/>
            <w:vAlign w:val="center"/>
            <w:hideMark/>
          </w:tcPr>
          <w:p w14:paraId="396A4C78" w14:textId="77777777" w:rsidR="000F5C52" w:rsidRPr="008B129E" w:rsidRDefault="000F5C52" w:rsidP="00AF6439">
            <w:pPr>
              <w:rPr>
                <w:rFonts w:ascii="Times New Roman" w:hAnsi="Times New Roman"/>
                <w:sz w:val="22"/>
                <w:szCs w:val="22"/>
                <w:lang w:eastAsia="it-IT"/>
              </w:rPr>
            </w:pPr>
          </w:p>
        </w:tc>
      </w:tr>
      <w:tr w:rsidR="000F5C52" w:rsidRPr="008B129E" w14:paraId="6FB94C34" w14:textId="77777777" w:rsidTr="000E51AB">
        <w:trPr>
          <w:trHeight w:val="300"/>
        </w:trPr>
        <w:tc>
          <w:tcPr>
            <w:tcW w:w="207" w:type="pct"/>
            <w:noWrap/>
            <w:vAlign w:val="center"/>
            <w:hideMark/>
          </w:tcPr>
          <w:p w14:paraId="493EBAFE" w14:textId="77777777" w:rsidR="000F5C52" w:rsidRPr="008B129E" w:rsidRDefault="000F5C52" w:rsidP="00AF6439">
            <w:pPr>
              <w:jc w:val="right"/>
              <w:rPr>
                <w:rFonts w:ascii="Times New Roman" w:hAnsi="Times New Roman"/>
                <w:color w:val="000000"/>
                <w:sz w:val="22"/>
                <w:szCs w:val="22"/>
                <w:lang w:eastAsia="it-IT"/>
              </w:rPr>
            </w:pPr>
            <w:r w:rsidRPr="008B129E">
              <w:rPr>
                <w:rFonts w:ascii="Times New Roman" w:hAnsi="Times New Roman"/>
                <w:color w:val="000000"/>
                <w:sz w:val="22"/>
                <w:szCs w:val="22"/>
                <w:lang w:eastAsia="it-IT"/>
              </w:rPr>
              <w:lastRenderedPageBreak/>
              <w:t>1</w:t>
            </w:r>
          </w:p>
        </w:tc>
        <w:tc>
          <w:tcPr>
            <w:tcW w:w="355" w:type="pct"/>
            <w:noWrap/>
            <w:vAlign w:val="center"/>
            <w:hideMark/>
          </w:tcPr>
          <w:p w14:paraId="06986C02" w14:textId="77777777" w:rsidR="000F5C52" w:rsidRPr="008B129E" w:rsidRDefault="000F5C52" w:rsidP="00AF6439">
            <w:pPr>
              <w:jc w:val="center"/>
              <w:rPr>
                <w:rFonts w:ascii="Times New Roman" w:hAnsi="Times New Roman"/>
                <w:color w:val="000000"/>
                <w:sz w:val="22"/>
                <w:szCs w:val="22"/>
                <w:lang w:eastAsia="it-IT"/>
              </w:rPr>
            </w:pPr>
            <w:r w:rsidRPr="008B129E">
              <w:rPr>
                <w:rFonts w:ascii="Times New Roman" w:hAnsi="Times New Roman"/>
                <w:color w:val="000000"/>
                <w:sz w:val="22"/>
                <w:szCs w:val="22"/>
                <w:lang w:eastAsia="it-IT"/>
              </w:rPr>
              <w:t>D</w:t>
            </w:r>
          </w:p>
        </w:tc>
        <w:tc>
          <w:tcPr>
            <w:tcW w:w="2121" w:type="pct"/>
            <w:gridSpan w:val="2"/>
            <w:noWrap/>
            <w:vAlign w:val="center"/>
            <w:hideMark/>
          </w:tcPr>
          <w:p w14:paraId="1B4BE44D" w14:textId="2125D4F2" w:rsidR="000E51AB" w:rsidRPr="008B129E" w:rsidRDefault="000E51AB" w:rsidP="00AF6439">
            <w:pPr>
              <w:jc w:val="center"/>
              <w:rPr>
                <w:rFonts w:ascii="Times New Roman" w:hAnsi="Times New Roman"/>
                <w:color w:val="000000"/>
                <w:sz w:val="22"/>
                <w:szCs w:val="22"/>
                <w:lang w:eastAsia="it-IT"/>
              </w:rPr>
            </w:pPr>
            <w:r w:rsidRPr="008B129E">
              <w:rPr>
                <w:rFonts w:ascii="Times New Roman" w:hAnsi="Times New Roman"/>
                <w:color w:val="000000"/>
                <w:sz w:val="22"/>
                <w:szCs w:val="22"/>
                <w:lang w:eastAsia="it-IT"/>
              </w:rPr>
              <w:t xml:space="preserve">Avvocato Comunale – </w:t>
            </w:r>
          </w:p>
          <w:p w14:paraId="20743204" w14:textId="168F8772" w:rsidR="000F5C52" w:rsidRPr="008B129E" w:rsidRDefault="000F5C52" w:rsidP="00AF6439">
            <w:pPr>
              <w:jc w:val="center"/>
              <w:rPr>
                <w:rFonts w:ascii="Times New Roman" w:hAnsi="Times New Roman"/>
                <w:color w:val="000000"/>
                <w:sz w:val="22"/>
                <w:szCs w:val="22"/>
                <w:lang w:eastAsia="it-IT"/>
              </w:rPr>
            </w:pPr>
            <w:r w:rsidRPr="008B129E">
              <w:rPr>
                <w:rFonts w:ascii="Times New Roman" w:hAnsi="Times New Roman"/>
                <w:color w:val="000000"/>
                <w:sz w:val="22"/>
                <w:szCs w:val="22"/>
                <w:lang w:eastAsia="it-IT"/>
              </w:rPr>
              <w:t>incremento orario 12 ore sett.li</w:t>
            </w:r>
          </w:p>
        </w:tc>
        <w:tc>
          <w:tcPr>
            <w:tcW w:w="1001" w:type="pct"/>
            <w:noWrap/>
            <w:vAlign w:val="center"/>
            <w:hideMark/>
          </w:tcPr>
          <w:p w14:paraId="24AF7A27" w14:textId="77777777" w:rsidR="000F5C52" w:rsidRPr="008B129E" w:rsidRDefault="000F5C52" w:rsidP="00AF6439">
            <w:pPr>
              <w:rPr>
                <w:rFonts w:ascii="Times New Roman" w:hAnsi="Times New Roman"/>
                <w:color w:val="000000"/>
                <w:sz w:val="22"/>
                <w:szCs w:val="22"/>
                <w:lang w:eastAsia="it-IT"/>
              </w:rPr>
            </w:pPr>
            <w:r w:rsidRPr="008B129E">
              <w:rPr>
                <w:rFonts w:ascii="Times New Roman" w:hAnsi="Times New Roman"/>
                <w:color w:val="000000"/>
                <w:sz w:val="22"/>
                <w:szCs w:val="22"/>
                <w:lang w:eastAsia="it-IT"/>
              </w:rPr>
              <w:t xml:space="preserve"> €              11.163,86 </w:t>
            </w:r>
          </w:p>
        </w:tc>
        <w:tc>
          <w:tcPr>
            <w:tcW w:w="181" w:type="pct"/>
            <w:noWrap/>
            <w:vAlign w:val="center"/>
            <w:hideMark/>
          </w:tcPr>
          <w:p w14:paraId="7AEDF492" w14:textId="77777777" w:rsidR="000F5C52" w:rsidRPr="008B129E" w:rsidRDefault="000F5C52" w:rsidP="00AF6439">
            <w:pPr>
              <w:rPr>
                <w:rFonts w:ascii="Times New Roman" w:hAnsi="Times New Roman"/>
                <w:color w:val="000000"/>
                <w:sz w:val="22"/>
                <w:szCs w:val="22"/>
                <w:lang w:eastAsia="it-IT"/>
              </w:rPr>
            </w:pPr>
          </w:p>
        </w:tc>
        <w:tc>
          <w:tcPr>
            <w:tcW w:w="258" w:type="pct"/>
            <w:noWrap/>
            <w:vAlign w:val="center"/>
            <w:hideMark/>
          </w:tcPr>
          <w:p w14:paraId="15CC6D0B" w14:textId="77777777" w:rsidR="000F5C52" w:rsidRPr="008B129E" w:rsidRDefault="000F5C52" w:rsidP="00AF6439">
            <w:pPr>
              <w:rPr>
                <w:rFonts w:ascii="Times New Roman" w:hAnsi="Times New Roman"/>
                <w:sz w:val="22"/>
                <w:szCs w:val="22"/>
                <w:lang w:eastAsia="it-IT"/>
              </w:rPr>
            </w:pPr>
          </w:p>
        </w:tc>
        <w:tc>
          <w:tcPr>
            <w:tcW w:w="258" w:type="pct"/>
            <w:noWrap/>
            <w:vAlign w:val="center"/>
            <w:hideMark/>
          </w:tcPr>
          <w:p w14:paraId="5E7FF6F7" w14:textId="77777777" w:rsidR="000F5C52" w:rsidRPr="008B129E" w:rsidRDefault="000F5C52" w:rsidP="00AF6439">
            <w:pPr>
              <w:rPr>
                <w:rFonts w:ascii="Times New Roman" w:hAnsi="Times New Roman"/>
                <w:sz w:val="22"/>
                <w:szCs w:val="22"/>
                <w:lang w:eastAsia="it-IT"/>
              </w:rPr>
            </w:pPr>
          </w:p>
        </w:tc>
        <w:tc>
          <w:tcPr>
            <w:tcW w:w="361" w:type="pct"/>
            <w:noWrap/>
            <w:vAlign w:val="center"/>
            <w:hideMark/>
          </w:tcPr>
          <w:p w14:paraId="6E3255DE" w14:textId="77777777" w:rsidR="000F5C52" w:rsidRPr="008B129E" w:rsidRDefault="000F5C52" w:rsidP="00AF6439">
            <w:pPr>
              <w:rPr>
                <w:rFonts w:ascii="Times New Roman" w:hAnsi="Times New Roman"/>
                <w:sz w:val="22"/>
                <w:szCs w:val="22"/>
                <w:lang w:eastAsia="it-IT"/>
              </w:rPr>
            </w:pPr>
          </w:p>
        </w:tc>
        <w:tc>
          <w:tcPr>
            <w:tcW w:w="258" w:type="pct"/>
            <w:noWrap/>
            <w:vAlign w:val="center"/>
            <w:hideMark/>
          </w:tcPr>
          <w:p w14:paraId="1C151452" w14:textId="77777777" w:rsidR="000F5C52" w:rsidRPr="008B129E" w:rsidRDefault="000F5C52" w:rsidP="00AF6439">
            <w:pPr>
              <w:rPr>
                <w:rFonts w:ascii="Times New Roman" w:hAnsi="Times New Roman"/>
                <w:sz w:val="22"/>
                <w:szCs w:val="22"/>
                <w:lang w:eastAsia="it-IT"/>
              </w:rPr>
            </w:pPr>
          </w:p>
        </w:tc>
      </w:tr>
      <w:tr w:rsidR="000F5C52" w:rsidRPr="008B129E" w14:paraId="522F7E30" w14:textId="77777777" w:rsidTr="000E51AB">
        <w:trPr>
          <w:trHeight w:val="300"/>
        </w:trPr>
        <w:tc>
          <w:tcPr>
            <w:tcW w:w="207" w:type="pct"/>
            <w:noWrap/>
            <w:vAlign w:val="center"/>
            <w:hideMark/>
          </w:tcPr>
          <w:p w14:paraId="043722C3" w14:textId="77777777" w:rsidR="000F5C52" w:rsidRPr="008B129E" w:rsidRDefault="000F5C52" w:rsidP="00AF6439">
            <w:pPr>
              <w:jc w:val="right"/>
              <w:rPr>
                <w:rFonts w:ascii="Times New Roman" w:hAnsi="Times New Roman"/>
                <w:sz w:val="22"/>
                <w:szCs w:val="22"/>
                <w:lang w:eastAsia="it-IT"/>
              </w:rPr>
            </w:pPr>
            <w:r w:rsidRPr="008B129E">
              <w:rPr>
                <w:rFonts w:ascii="Times New Roman" w:hAnsi="Times New Roman"/>
                <w:sz w:val="22"/>
                <w:szCs w:val="22"/>
                <w:lang w:eastAsia="it-IT"/>
              </w:rPr>
              <w:t>1</w:t>
            </w:r>
          </w:p>
        </w:tc>
        <w:tc>
          <w:tcPr>
            <w:tcW w:w="355" w:type="pct"/>
            <w:noWrap/>
            <w:vAlign w:val="center"/>
            <w:hideMark/>
          </w:tcPr>
          <w:p w14:paraId="523D3EAC" w14:textId="77777777" w:rsidR="000F5C52" w:rsidRPr="008B129E" w:rsidRDefault="000F5C52" w:rsidP="00AF6439">
            <w:pPr>
              <w:jc w:val="center"/>
              <w:rPr>
                <w:rFonts w:ascii="Times New Roman" w:hAnsi="Times New Roman"/>
                <w:sz w:val="22"/>
                <w:szCs w:val="22"/>
                <w:lang w:eastAsia="it-IT"/>
              </w:rPr>
            </w:pPr>
            <w:r w:rsidRPr="008B129E">
              <w:rPr>
                <w:rFonts w:ascii="Times New Roman" w:hAnsi="Times New Roman"/>
                <w:sz w:val="22"/>
                <w:szCs w:val="22"/>
                <w:lang w:eastAsia="it-IT"/>
              </w:rPr>
              <w:t>D</w:t>
            </w:r>
          </w:p>
        </w:tc>
        <w:tc>
          <w:tcPr>
            <w:tcW w:w="2121" w:type="pct"/>
            <w:gridSpan w:val="2"/>
            <w:noWrap/>
            <w:vAlign w:val="center"/>
            <w:hideMark/>
          </w:tcPr>
          <w:p w14:paraId="129A304B" w14:textId="77777777" w:rsidR="000F5C52" w:rsidRPr="008B129E" w:rsidRDefault="000F5C52" w:rsidP="00AF6439">
            <w:pPr>
              <w:jc w:val="center"/>
              <w:rPr>
                <w:rFonts w:ascii="Times New Roman" w:hAnsi="Times New Roman"/>
                <w:sz w:val="22"/>
                <w:szCs w:val="22"/>
                <w:lang w:eastAsia="it-IT"/>
              </w:rPr>
            </w:pPr>
            <w:r w:rsidRPr="008B129E">
              <w:rPr>
                <w:rFonts w:ascii="Times New Roman" w:hAnsi="Times New Roman"/>
                <w:sz w:val="22"/>
                <w:szCs w:val="22"/>
                <w:lang w:eastAsia="it-IT"/>
              </w:rPr>
              <w:t>Istruttore Direttivo Contabile</w:t>
            </w:r>
          </w:p>
        </w:tc>
        <w:tc>
          <w:tcPr>
            <w:tcW w:w="1001" w:type="pct"/>
            <w:noWrap/>
            <w:vAlign w:val="center"/>
            <w:hideMark/>
          </w:tcPr>
          <w:p w14:paraId="403B5EA0" w14:textId="77777777" w:rsidR="000F5C52" w:rsidRPr="008B129E" w:rsidRDefault="000F5C52" w:rsidP="00AF6439">
            <w:pPr>
              <w:rPr>
                <w:rFonts w:ascii="Times New Roman" w:hAnsi="Times New Roman"/>
                <w:sz w:val="22"/>
                <w:szCs w:val="22"/>
                <w:lang w:eastAsia="it-IT"/>
              </w:rPr>
            </w:pPr>
            <w:r w:rsidRPr="008B129E">
              <w:rPr>
                <w:rFonts w:ascii="Times New Roman" w:hAnsi="Times New Roman"/>
                <w:sz w:val="22"/>
                <w:szCs w:val="22"/>
                <w:lang w:eastAsia="it-IT"/>
              </w:rPr>
              <w:t xml:space="preserve"> €                 2.635,24 </w:t>
            </w:r>
          </w:p>
        </w:tc>
        <w:tc>
          <w:tcPr>
            <w:tcW w:w="1316" w:type="pct"/>
            <w:gridSpan w:val="5"/>
            <w:vAlign w:val="center"/>
            <w:hideMark/>
          </w:tcPr>
          <w:p w14:paraId="40A9EE80" w14:textId="77777777" w:rsidR="000F5C52" w:rsidRPr="008B129E" w:rsidRDefault="000F5C52" w:rsidP="00AF6439">
            <w:pPr>
              <w:rPr>
                <w:rFonts w:ascii="Times New Roman" w:hAnsi="Times New Roman"/>
                <w:sz w:val="22"/>
                <w:szCs w:val="22"/>
                <w:lang w:eastAsia="it-IT"/>
              </w:rPr>
            </w:pPr>
            <w:r w:rsidRPr="008B129E">
              <w:rPr>
                <w:rFonts w:ascii="Times New Roman" w:hAnsi="Times New Roman"/>
                <w:sz w:val="22"/>
                <w:szCs w:val="22"/>
                <w:lang w:eastAsia="it-IT"/>
              </w:rPr>
              <w:t>progressione verticale art. 15, CCNL FL 16/11/2023</w:t>
            </w:r>
          </w:p>
        </w:tc>
      </w:tr>
      <w:tr w:rsidR="000F5C52" w:rsidRPr="008B129E" w14:paraId="7ACDA9AD" w14:textId="77777777" w:rsidTr="000E51AB">
        <w:trPr>
          <w:trHeight w:val="300"/>
        </w:trPr>
        <w:tc>
          <w:tcPr>
            <w:tcW w:w="207" w:type="pct"/>
            <w:noWrap/>
            <w:vAlign w:val="center"/>
            <w:hideMark/>
          </w:tcPr>
          <w:p w14:paraId="0308E18A" w14:textId="77777777" w:rsidR="000F5C52" w:rsidRPr="008B129E" w:rsidRDefault="000F5C52" w:rsidP="00AF6439">
            <w:pPr>
              <w:jc w:val="right"/>
              <w:rPr>
                <w:rFonts w:ascii="Times New Roman" w:hAnsi="Times New Roman"/>
                <w:color w:val="FF0000"/>
                <w:sz w:val="22"/>
                <w:szCs w:val="22"/>
                <w:lang w:eastAsia="it-IT"/>
              </w:rPr>
            </w:pPr>
            <w:r w:rsidRPr="008B129E">
              <w:rPr>
                <w:rFonts w:ascii="Times New Roman" w:hAnsi="Times New Roman"/>
                <w:color w:val="FF0000"/>
                <w:sz w:val="22"/>
                <w:szCs w:val="22"/>
                <w:lang w:eastAsia="it-IT"/>
              </w:rPr>
              <w:t>1</w:t>
            </w:r>
          </w:p>
        </w:tc>
        <w:tc>
          <w:tcPr>
            <w:tcW w:w="355" w:type="pct"/>
            <w:noWrap/>
            <w:vAlign w:val="center"/>
            <w:hideMark/>
          </w:tcPr>
          <w:p w14:paraId="06C12668" w14:textId="77777777" w:rsidR="000F5C52" w:rsidRPr="008B129E" w:rsidRDefault="000F5C52" w:rsidP="00AF6439">
            <w:pPr>
              <w:jc w:val="center"/>
              <w:rPr>
                <w:rFonts w:ascii="Times New Roman" w:hAnsi="Times New Roman"/>
                <w:color w:val="FF0000"/>
                <w:sz w:val="22"/>
                <w:szCs w:val="22"/>
                <w:lang w:eastAsia="it-IT"/>
              </w:rPr>
            </w:pPr>
            <w:r w:rsidRPr="008B129E">
              <w:rPr>
                <w:rFonts w:ascii="Times New Roman" w:hAnsi="Times New Roman"/>
                <w:color w:val="FF0000"/>
                <w:sz w:val="22"/>
                <w:szCs w:val="22"/>
                <w:lang w:eastAsia="it-IT"/>
              </w:rPr>
              <w:t>D</w:t>
            </w:r>
          </w:p>
        </w:tc>
        <w:tc>
          <w:tcPr>
            <w:tcW w:w="2121" w:type="pct"/>
            <w:gridSpan w:val="2"/>
            <w:noWrap/>
            <w:vAlign w:val="center"/>
            <w:hideMark/>
          </w:tcPr>
          <w:p w14:paraId="3AEB0AE6" w14:textId="27924941" w:rsidR="000F5C52" w:rsidRPr="008B129E" w:rsidRDefault="000E51AB" w:rsidP="00AF6439">
            <w:pPr>
              <w:jc w:val="center"/>
              <w:rPr>
                <w:rFonts w:ascii="Times New Roman" w:hAnsi="Times New Roman"/>
                <w:color w:val="FF0000"/>
                <w:sz w:val="22"/>
                <w:szCs w:val="22"/>
                <w:lang w:eastAsia="it-IT"/>
              </w:rPr>
            </w:pPr>
            <w:bookmarkStart w:id="6" w:name="_Hlk212201606"/>
            <w:r w:rsidRPr="008B129E">
              <w:rPr>
                <w:rFonts w:ascii="Times New Roman" w:hAnsi="Times New Roman"/>
                <w:color w:val="FF0000"/>
                <w:sz w:val="22"/>
                <w:szCs w:val="22"/>
                <w:lang w:eastAsia="it-IT"/>
              </w:rPr>
              <w:t>Specialista economico-statistico</w:t>
            </w:r>
            <w:bookmarkEnd w:id="6"/>
          </w:p>
        </w:tc>
        <w:tc>
          <w:tcPr>
            <w:tcW w:w="1001" w:type="pct"/>
            <w:noWrap/>
            <w:vAlign w:val="center"/>
            <w:hideMark/>
          </w:tcPr>
          <w:p w14:paraId="660DDCFB" w14:textId="77777777" w:rsidR="000F5C52" w:rsidRPr="008B129E" w:rsidRDefault="000F5C52" w:rsidP="00AF6439">
            <w:pPr>
              <w:rPr>
                <w:rFonts w:ascii="Times New Roman" w:hAnsi="Times New Roman"/>
                <w:color w:val="FF0000"/>
                <w:sz w:val="22"/>
                <w:szCs w:val="22"/>
                <w:lang w:eastAsia="it-IT"/>
              </w:rPr>
            </w:pPr>
            <w:r w:rsidRPr="008B129E">
              <w:rPr>
                <w:rFonts w:ascii="Times New Roman" w:hAnsi="Times New Roman"/>
                <w:color w:val="FF0000"/>
                <w:sz w:val="22"/>
                <w:szCs w:val="22"/>
                <w:lang w:eastAsia="it-IT"/>
              </w:rPr>
              <w:t xml:space="preserve"> €              33.491,59 </w:t>
            </w:r>
          </w:p>
        </w:tc>
        <w:tc>
          <w:tcPr>
            <w:tcW w:w="1316" w:type="pct"/>
            <w:gridSpan w:val="5"/>
            <w:vAlign w:val="center"/>
            <w:hideMark/>
          </w:tcPr>
          <w:p w14:paraId="3CE36605" w14:textId="77777777" w:rsidR="000F5C52" w:rsidRPr="008B129E" w:rsidRDefault="000F5C52" w:rsidP="00AF6439">
            <w:pPr>
              <w:rPr>
                <w:rFonts w:ascii="Times New Roman" w:hAnsi="Times New Roman"/>
                <w:color w:val="FF0000"/>
                <w:sz w:val="22"/>
                <w:szCs w:val="22"/>
                <w:lang w:eastAsia="it-IT"/>
              </w:rPr>
            </w:pPr>
            <w:r w:rsidRPr="008B129E">
              <w:rPr>
                <w:rFonts w:ascii="Times New Roman" w:hAnsi="Times New Roman"/>
                <w:color w:val="FF0000"/>
                <w:sz w:val="22"/>
                <w:szCs w:val="22"/>
                <w:lang w:eastAsia="it-IT"/>
              </w:rPr>
              <w:t>concorso pubblico</w:t>
            </w:r>
          </w:p>
        </w:tc>
      </w:tr>
      <w:tr w:rsidR="000F5C52" w:rsidRPr="008B129E" w14:paraId="52994604" w14:textId="77777777" w:rsidTr="000E51AB">
        <w:trPr>
          <w:trHeight w:val="600"/>
        </w:trPr>
        <w:tc>
          <w:tcPr>
            <w:tcW w:w="207" w:type="pct"/>
            <w:noWrap/>
            <w:vAlign w:val="center"/>
            <w:hideMark/>
          </w:tcPr>
          <w:p w14:paraId="3EF34636" w14:textId="77777777" w:rsidR="000F5C52" w:rsidRPr="008B129E" w:rsidRDefault="000F5C52" w:rsidP="00AF6439">
            <w:pPr>
              <w:rPr>
                <w:rFonts w:ascii="Times New Roman" w:hAnsi="Times New Roman"/>
                <w:color w:val="FF0000"/>
                <w:sz w:val="22"/>
                <w:szCs w:val="22"/>
                <w:lang w:eastAsia="it-IT"/>
              </w:rPr>
            </w:pPr>
          </w:p>
        </w:tc>
        <w:tc>
          <w:tcPr>
            <w:tcW w:w="355" w:type="pct"/>
            <w:noWrap/>
            <w:vAlign w:val="center"/>
            <w:hideMark/>
          </w:tcPr>
          <w:p w14:paraId="15D962E8" w14:textId="77777777" w:rsidR="000F5C52" w:rsidRPr="008B129E" w:rsidRDefault="000F5C52" w:rsidP="00AF6439">
            <w:pPr>
              <w:jc w:val="right"/>
              <w:rPr>
                <w:rFonts w:ascii="Times New Roman" w:hAnsi="Times New Roman"/>
                <w:sz w:val="22"/>
                <w:szCs w:val="22"/>
                <w:lang w:eastAsia="it-IT"/>
              </w:rPr>
            </w:pPr>
          </w:p>
        </w:tc>
        <w:tc>
          <w:tcPr>
            <w:tcW w:w="1060" w:type="pct"/>
            <w:noWrap/>
            <w:vAlign w:val="center"/>
            <w:hideMark/>
          </w:tcPr>
          <w:p w14:paraId="4FB4173A" w14:textId="77777777" w:rsidR="000F5C52" w:rsidRPr="008B129E" w:rsidRDefault="000F5C52" w:rsidP="00AF6439">
            <w:pPr>
              <w:jc w:val="center"/>
              <w:rPr>
                <w:rFonts w:ascii="Times New Roman" w:hAnsi="Times New Roman"/>
                <w:sz w:val="22"/>
                <w:szCs w:val="22"/>
                <w:lang w:eastAsia="it-IT"/>
              </w:rPr>
            </w:pPr>
          </w:p>
        </w:tc>
        <w:tc>
          <w:tcPr>
            <w:tcW w:w="1060" w:type="pct"/>
            <w:noWrap/>
            <w:vAlign w:val="center"/>
            <w:hideMark/>
          </w:tcPr>
          <w:p w14:paraId="4AEBE7B5" w14:textId="77777777" w:rsidR="000F5C52" w:rsidRPr="008B129E" w:rsidRDefault="000F5C52" w:rsidP="00AF6439">
            <w:pPr>
              <w:jc w:val="center"/>
              <w:rPr>
                <w:rFonts w:ascii="Times New Roman" w:hAnsi="Times New Roman"/>
                <w:sz w:val="22"/>
                <w:szCs w:val="22"/>
                <w:lang w:eastAsia="it-IT"/>
              </w:rPr>
            </w:pPr>
          </w:p>
        </w:tc>
        <w:tc>
          <w:tcPr>
            <w:tcW w:w="1001" w:type="pct"/>
            <w:noWrap/>
            <w:vAlign w:val="center"/>
            <w:hideMark/>
          </w:tcPr>
          <w:p w14:paraId="5724EA36" w14:textId="77777777" w:rsidR="000F5C52" w:rsidRPr="008B129E" w:rsidRDefault="000F5C52" w:rsidP="00AF6439">
            <w:pPr>
              <w:jc w:val="center"/>
              <w:rPr>
                <w:rFonts w:ascii="Times New Roman" w:hAnsi="Times New Roman"/>
                <w:sz w:val="22"/>
                <w:szCs w:val="22"/>
                <w:lang w:eastAsia="it-IT"/>
              </w:rPr>
            </w:pPr>
          </w:p>
        </w:tc>
        <w:tc>
          <w:tcPr>
            <w:tcW w:w="1316" w:type="pct"/>
            <w:gridSpan w:val="5"/>
            <w:vAlign w:val="center"/>
            <w:hideMark/>
          </w:tcPr>
          <w:p w14:paraId="3E3A0331" w14:textId="77777777" w:rsidR="000F5C52" w:rsidRPr="008B129E" w:rsidRDefault="000F5C52" w:rsidP="00AF6439">
            <w:pPr>
              <w:jc w:val="both"/>
              <w:rPr>
                <w:rFonts w:ascii="Times New Roman" w:hAnsi="Times New Roman"/>
                <w:color w:val="FF0000"/>
                <w:sz w:val="22"/>
                <w:szCs w:val="22"/>
                <w:lang w:eastAsia="it-IT"/>
              </w:rPr>
            </w:pPr>
            <w:r w:rsidRPr="008B129E">
              <w:rPr>
                <w:rFonts w:ascii="Times New Roman" w:hAnsi="Times New Roman"/>
                <w:color w:val="FF0000"/>
                <w:sz w:val="22"/>
                <w:szCs w:val="22"/>
                <w:lang w:eastAsia="it-IT"/>
              </w:rPr>
              <w:t xml:space="preserve">assunzione </w:t>
            </w:r>
            <w:proofErr w:type="spellStart"/>
            <w:r w:rsidRPr="008B129E">
              <w:rPr>
                <w:rFonts w:ascii="Times New Roman" w:hAnsi="Times New Roman"/>
                <w:color w:val="FF0000"/>
                <w:sz w:val="22"/>
                <w:szCs w:val="22"/>
                <w:lang w:eastAsia="it-IT"/>
              </w:rPr>
              <w:t>eterofinanziata</w:t>
            </w:r>
            <w:proofErr w:type="spellEnd"/>
            <w:r w:rsidRPr="008B129E">
              <w:rPr>
                <w:rFonts w:ascii="Times New Roman" w:hAnsi="Times New Roman"/>
                <w:color w:val="FF0000"/>
                <w:sz w:val="22"/>
                <w:szCs w:val="22"/>
                <w:lang w:eastAsia="it-IT"/>
              </w:rPr>
              <w:t xml:space="preserve"> ai sensi dell’articolo 1, co. 449, lett. d-quinquies, terzo periodo, della L. 232/2016</w:t>
            </w:r>
          </w:p>
        </w:tc>
      </w:tr>
      <w:tr w:rsidR="000F5C52" w:rsidRPr="008B129E" w14:paraId="612E1ADA" w14:textId="77777777" w:rsidTr="000E51AB">
        <w:trPr>
          <w:trHeight w:val="330"/>
        </w:trPr>
        <w:tc>
          <w:tcPr>
            <w:tcW w:w="207" w:type="pct"/>
            <w:noWrap/>
            <w:vAlign w:val="center"/>
            <w:hideMark/>
          </w:tcPr>
          <w:p w14:paraId="5D1FF1C6" w14:textId="0544C3F1" w:rsidR="000F5C52" w:rsidRPr="008B129E" w:rsidRDefault="00146132" w:rsidP="00AF6439">
            <w:pPr>
              <w:jc w:val="right"/>
              <w:rPr>
                <w:rFonts w:ascii="Times New Roman" w:hAnsi="Times New Roman"/>
                <w:sz w:val="22"/>
                <w:szCs w:val="22"/>
                <w:lang w:eastAsia="it-IT"/>
              </w:rPr>
            </w:pPr>
            <w:r w:rsidRPr="008B129E">
              <w:rPr>
                <w:rFonts w:ascii="Times New Roman" w:hAnsi="Times New Roman"/>
                <w:sz w:val="22"/>
                <w:szCs w:val="22"/>
                <w:lang w:eastAsia="it-IT"/>
              </w:rPr>
              <w:t>4</w:t>
            </w:r>
          </w:p>
        </w:tc>
        <w:tc>
          <w:tcPr>
            <w:tcW w:w="355" w:type="pct"/>
            <w:noWrap/>
            <w:vAlign w:val="center"/>
            <w:hideMark/>
          </w:tcPr>
          <w:p w14:paraId="2D8B2F78" w14:textId="77777777" w:rsidR="000F5C52" w:rsidRPr="008B129E" w:rsidRDefault="000F5C52" w:rsidP="00AF6439">
            <w:pPr>
              <w:jc w:val="center"/>
              <w:rPr>
                <w:rFonts w:ascii="Times New Roman" w:hAnsi="Times New Roman"/>
                <w:sz w:val="22"/>
                <w:szCs w:val="22"/>
                <w:lang w:eastAsia="it-IT"/>
              </w:rPr>
            </w:pPr>
            <w:r w:rsidRPr="008B129E">
              <w:rPr>
                <w:rFonts w:ascii="Times New Roman" w:hAnsi="Times New Roman"/>
                <w:sz w:val="22"/>
                <w:szCs w:val="22"/>
                <w:lang w:eastAsia="it-IT"/>
              </w:rPr>
              <w:t>C</w:t>
            </w:r>
          </w:p>
        </w:tc>
        <w:tc>
          <w:tcPr>
            <w:tcW w:w="2121" w:type="pct"/>
            <w:gridSpan w:val="2"/>
            <w:noWrap/>
            <w:vAlign w:val="center"/>
            <w:hideMark/>
          </w:tcPr>
          <w:p w14:paraId="4FA8CFB5" w14:textId="77777777" w:rsidR="000F5C52" w:rsidRPr="008B129E" w:rsidRDefault="000F5C52" w:rsidP="00AF6439">
            <w:pPr>
              <w:jc w:val="center"/>
              <w:rPr>
                <w:rFonts w:ascii="Times New Roman" w:hAnsi="Times New Roman"/>
                <w:sz w:val="22"/>
                <w:szCs w:val="22"/>
                <w:lang w:eastAsia="it-IT"/>
              </w:rPr>
            </w:pPr>
            <w:r w:rsidRPr="008B129E">
              <w:rPr>
                <w:rFonts w:ascii="Times New Roman" w:hAnsi="Times New Roman"/>
                <w:sz w:val="22"/>
                <w:szCs w:val="22"/>
                <w:lang w:eastAsia="it-IT"/>
              </w:rPr>
              <w:t>Istruttore Amministrativo-Contabile p.t. 24h</w:t>
            </w:r>
          </w:p>
        </w:tc>
        <w:tc>
          <w:tcPr>
            <w:tcW w:w="1001" w:type="pct"/>
            <w:noWrap/>
            <w:vAlign w:val="center"/>
            <w:hideMark/>
          </w:tcPr>
          <w:p w14:paraId="1A3526AD" w14:textId="301ED60B" w:rsidR="000F5C52" w:rsidRPr="008B129E" w:rsidRDefault="000F5C52" w:rsidP="00AF6439">
            <w:pPr>
              <w:rPr>
                <w:rFonts w:ascii="Times New Roman" w:hAnsi="Times New Roman"/>
                <w:sz w:val="22"/>
                <w:szCs w:val="22"/>
                <w:lang w:eastAsia="it-IT"/>
              </w:rPr>
            </w:pPr>
            <w:r w:rsidRPr="008B129E">
              <w:rPr>
                <w:rFonts w:ascii="Times New Roman" w:hAnsi="Times New Roman"/>
                <w:sz w:val="22"/>
                <w:szCs w:val="22"/>
                <w:lang w:eastAsia="it-IT"/>
              </w:rPr>
              <w:t xml:space="preserve"> €              </w:t>
            </w:r>
            <w:r w:rsidR="00146132" w:rsidRPr="008B129E">
              <w:rPr>
                <w:rFonts w:ascii="Times New Roman" w:hAnsi="Times New Roman"/>
                <w:sz w:val="22"/>
                <w:szCs w:val="22"/>
                <w:lang w:eastAsia="it-IT"/>
              </w:rPr>
              <w:t>83.283,61</w:t>
            </w:r>
            <w:r w:rsidRPr="008B129E">
              <w:rPr>
                <w:rFonts w:ascii="Times New Roman" w:hAnsi="Times New Roman"/>
                <w:sz w:val="22"/>
                <w:szCs w:val="22"/>
                <w:lang w:eastAsia="it-IT"/>
              </w:rPr>
              <w:t xml:space="preserve"> </w:t>
            </w:r>
          </w:p>
        </w:tc>
        <w:tc>
          <w:tcPr>
            <w:tcW w:w="1316" w:type="pct"/>
            <w:gridSpan w:val="5"/>
            <w:vAlign w:val="center"/>
            <w:hideMark/>
          </w:tcPr>
          <w:p w14:paraId="04197F1C" w14:textId="524D65F2" w:rsidR="000F5C52" w:rsidRPr="008B129E" w:rsidRDefault="000F5C52" w:rsidP="00AF6439">
            <w:pPr>
              <w:rPr>
                <w:rFonts w:ascii="Times New Roman" w:hAnsi="Times New Roman"/>
                <w:sz w:val="22"/>
                <w:szCs w:val="22"/>
                <w:lang w:eastAsia="it-IT"/>
              </w:rPr>
            </w:pPr>
            <w:r w:rsidRPr="008B129E">
              <w:rPr>
                <w:rFonts w:ascii="Times New Roman" w:hAnsi="Times New Roman"/>
                <w:sz w:val="22"/>
                <w:szCs w:val="22"/>
                <w:lang w:eastAsia="it-IT"/>
              </w:rPr>
              <w:t>concorso pubblico</w:t>
            </w:r>
            <w:r w:rsidR="00146132" w:rsidRPr="008B129E">
              <w:rPr>
                <w:rFonts w:ascii="Times New Roman" w:hAnsi="Times New Roman"/>
                <w:sz w:val="22"/>
                <w:szCs w:val="22"/>
                <w:lang w:eastAsia="it-IT"/>
              </w:rPr>
              <w:t xml:space="preserve"> previo esperimento obbligatorio della procedura di mobilità</w:t>
            </w:r>
          </w:p>
        </w:tc>
      </w:tr>
      <w:tr w:rsidR="000F5C52" w:rsidRPr="008B129E" w14:paraId="1A66782A" w14:textId="77777777" w:rsidTr="000E51AB">
        <w:trPr>
          <w:trHeight w:val="300"/>
        </w:trPr>
        <w:tc>
          <w:tcPr>
            <w:tcW w:w="207" w:type="pct"/>
            <w:noWrap/>
            <w:vAlign w:val="center"/>
            <w:hideMark/>
          </w:tcPr>
          <w:p w14:paraId="40C91A8D" w14:textId="77777777" w:rsidR="000F5C52" w:rsidRPr="008B129E" w:rsidRDefault="000F5C52" w:rsidP="00AF6439">
            <w:pPr>
              <w:rPr>
                <w:rFonts w:ascii="Times New Roman" w:hAnsi="Times New Roman"/>
                <w:sz w:val="22"/>
                <w:szCs w:val="22"/>
                <w:lang w:eastAsia="it-IT"/>
              </w:rPr>
            </w:pPr>
          </w:p>
        </w:tc>
        <w:tc>
          <w:tcPr>
            <w:tcW w:w="2476" w:type="pct"/>
            <w:gridSpan w:val="3"/>
            <w:noWrap/>
            <w:vAlign w:val="center"/>
            <w:hideMark/>
          </w:tcPr>
          <w:p w14:paraId="7E0C68A3" w14:textId="77777777" w:rsidR="000F5C52" w:rsidRPr="008B129E" w:rsidRDefault="000F5C52" w:rsidP="00AF6439">
            <w:pPr>
              <w:jc w:val="right"/>
              <w:rPr>
                <w:rFonts w:ascii="Times New Roman" w:hAnsi="Times New Roman"/>
                <w:color w:val="000000"/>
                <w:sz w:val="22"/>
                <w:szCs w:val="22"/>
                <w:lang w:eastAsia="it-IT"/>
              </w:rPr>
            </w:pPr>
            <w:r w:rsidRPr="008B129E">
              <w:rPr>
                <w:rFonts w:ascii="Times New Roman" w:hAnsi="Times New Roman"/>
                <w:color w:val="000000"/>
                <w:sz w:val="22"/>
                <w:szCs w:val="22"/>
                <w:lang w:eastAsia="it-IT"/>
              </w:rPr>
              <w:t>risorse destinate al piano 2025</w:t>
            </w:r>
          </w:p>
        </w:tc>
        <w:tc>
          <w:tcPr>
            <w:tcW w:w="1001" w:type="pct"/>
            <w:noWrap/>
            <w:vAlign w:val="center"/>
            <w:hideMark/>
          </w:tcPr>
          <w:p w14:paraId="3D17381D" w14:textId="2E67C7B4" w:rsidR="000F5C52" w:rsidRPr="008B129E" w:rsidRDefault="000F5C52" w:rsidP="00AF6439">
            <w:pPr>
              <w:rPr>
                <w:rFonts w:ascii="Times New Roman" w:hAnsi="Times New Roman"/>
                <w:color w:val="000000"/>
                <w:sz w:val="22"/>
                <w:szCs w:val="22"/>
                <w:lang w:eastAsia="it-IT"/>
              </w:rPr>
            </w:pPr>
            <w:r w:rsidRPr="008B129E">
              <w:rPr>
                <w:rFonts w:ascii="Times New Roman" w:hAnsi="Times New Roman"/>
                <w:color w:val="000000"/>
                <w:sz w:val="22"/>
                <w:szCs w:val="22"/>
                <w:lang w:eastAsia="it-IT"/>
              </w:rPr>
              <w:t xml:space="preserve"> €              </w:t>
            </w:r>
            <w:r w:rsidR="00146132" w:rsidRPr="008B129E">
              <w:rPr>
                <w:rFonts w:ascii="Times New Roman" w:hAnsi="Times New Roman"/>
                <w:color w:val="000000"/>
                <w:sz w:val="22"/>
                <w:szCs w:val="22"/>
                <w:lang w:eastAsia="it-IT"/>
              </w:rPr>
              <w:t>96.082,71</w:t>
            </w:r>
            <w:r w:rsidRPr="008B129E">
              <w:rPr>
                <w:rFonts w:ascii="Times New Roman" w:hAnsi="Times New Roman"/>
                <w:color w:val="000000"/>
                <w:sz w:val="22"/>
                <w:szCs w:val="22"/>
                <w:lang w:eastAsia="it-IT"/>
              </w:rPr>
              <w:t xml:space="preserve"> </w:t>
            </w:r>
          </w:p>
        </w:tc>
        <w:tc>
          <w:tcPr>
            <w:tcW w:w="181" w:type="pct"/>
            <w:noWrap/>
            <w:vAlign w:val="center"/>
            <w:hideMark/>
          </w:tcPr>
          <w:p w14:paraId="3ED096F6" w14:textId="77777777" w:rsidR="000F5C52" w:rsidRPr="008B129E" w:rsidRDefault="000F5C52" w:rsidP="00AF6439">
            <w:pPr>
              <w:rPr>
                <w:rFonts w:ascii="Times New Roman" w:hAnsi="Times New Roman"/>
                <w:color w:val="000000"/>
                <w:sz w:val="22"/>
                <w:szCs w:val="22"/>
                <w:lang w:eastAsia="it-IT"/>
              </w:rPr>
            </w:pPr>
          </w:p>
        </w:tc>
        <w:tc>
          <w:tcPr>
            <w:tcW w:w="258" w:type="pct"/>
            <w:noWrap/>
            <w:vAlign w:val="center"/>
            <w:hideMark/>
          </w:tcPr>
          <w:p w14:paraId="633C40D1" w14:textId="77777777" w:rsidR="000F5C52" w:rsidRPr="008B129E" w:rsidRDefault="000F5C52" w:rsidP="00AF6439">
            <w:pPr>
              <w:rPr>
                <w:rFonts w:ascii="Times New Roman" w:hAnsi="Times New Roman"/>
                <w:sz w:val="22"/>
                <w:szCs w:val="22"/>
                <w:lang w:eastAsia="it-IT"/>
              </w:rPr>
            </w:pPr>
          </w:p>
        </w:tc>
        <w:tc>
          <w:tcPr>
            <w:tcW w:w="258" w:type="pct"/>
            <w:noWrap/>
            <w:vAlign w:val="center"/>
            <w:hideMark/>
          </w:tcPr>
          <w:p w14:paraId="198F8FE2" w14:textId="77777777" w:rsidR="000F5C52" w:rsidRPr="008B129E" w:rsidRDefault="000F5C52" w:rsidP="00AF6439">
            <w:pPr>
              <w:rPr>
                <w:rFonts w:ascii="Times New Roman" w:hAnsi="Times New Roman"/>
                <w:sz w:val="22"/>
                <w:szCs w:val="22"/>
                <w:lang w:eastAsia="it-IT"/>
              </w:rPr>
            </w:pPr>
          </w:p>
        </w:tc>
        <w:tc>
          <w:tcPr>
            <w:tcW w:w="361" w:type="pct"/>
            <w:noWrap/>
            <w:vAlign w:val="center"/>
            <w:hideMark/>
          </w:tcPr>
          <w:p w14:paraId="338F918A" w14:textId="77777777" w:rsidR="000F5C52" w:rsidRPr="008B129E" w:rsidRDefault="000F5C52" w:rsidP="00AF6439">
            <w:pPr>
              <w:rPr>
                <w:rFonts w:ascii="Times New Roman" w:hAnsi="Times New Roman"/>
                <w:sz w:val="22"/>
                <w:szCs w:val="22"/>
                <w:lang w:eastAsia="it-IT"/>
              </w:rPr>
            </w:pPr>
          </w:p>
        </w:tc>
        <w:tc>
          <w:tcPr>
            <w:tcW w:w="258" w:type="pct"/>
            <w:noWrap/>
            <w:vAlign w:val="center"/>
            <w:hideMark/>
          </w:tcPr>
          <w:p w14:paraId="25CF3D11" w14:textId="77777777" w:rsidR="000F5C52" w:rsidRPr="008B129E" w:rsidRDefault="000F5C52" w:rsidP="00AF6439">
            <w:pPr>
              <w:rPr>
                <w:rFonts w:ascii="Times New Roman" w:hAnsi="Times New Roman"/>
                <w:sz w:val="22"/>
                <w:szCs w:val="22"/>
                <w:lang w:eastAsia="it-IT"/>
              </w:rPr>
            </w:pPr>
          </w:p>
        </w:tc>
      </w:tr>
      <w:tr w:rsidR="000F5C52" w:rsidRPr="008B129E" w14:paraId="0AEE1E80" w14:textId="77777777" w:rsidTr="000E51AB">
        <w:trPr>
          <w:trHeight w:val="300"/>
        </w:trPr>
        <w:tc>
          <w:tcPr>
            <w:tcW w:w="207" w:type="pct"/>
            <w:noWrap/>
            <w:vAlign w:val="center"/>
            <w:hideMark/>
          </w:tcPr>
          <w:p w14:paraId="681CA591" w14:textId="77777777" w:rsidR="000F5C52" w:rsidRPr="008B129E" w:rsidRDefault="000F5C52" w:rsidP="00AF6439">
            <w:pPr>
              <w:rPr>
                <w:rFonts w:ascii="Times New Roman" w:hAnsi="Times New Roman"/>
                <w:sz w:val="22"/>
                <w:szCs w:val="22"/>
                <w:lang w:eastAsia="it-IT"/>
              </w:rPr>
            </w:pPr>
          </w:p>
        </w:tc>
        <w:tc>
          <w:tcPr>
            <w:tcW w:w="355" w:type="pct"/>
            <w:noWrap/>
            <w:vAlign w:val="center"/>
            <w:hideMark/>
          </w:tcPr>
          <w:p w14:paraId="2E08A25D" w14:textId="77777777" w:rsidR="000F5C52" w:rsidRPr="008B129E" w:rsidRDefault="000F5C52" w:rsidP="00AF6439">
            <w:pPr>
              <w:rPr>
                <w:rFonts w:ascii="Times New Roman" w:hAnsi="Times New Roman"/>
                <w:sz w:val="22"/>
                <w:szCs w:val="22"/>
                <w:lang w:eastAsia="it-IT"/>
              </w:rPr>
            </w:pPr>
          </w:p>
        </w:tc>
        <w:tc>
          <w:tcPr>
            <w:tcW w:w="2121" w:type="pct"/>
            <w:gridSpan w:val="2"/>
            <w:noWrap/>
            <w:vAlign w:val="center"/>
            <w:hideMark/>
          </w:tcPr>
          <w:p w14:paraId="1C4998D6" w14:textId="77777777" w:rsidR="000F5C52" w:rsidRPr="008B129E" w:rsidRDefault="000F5C52" w:rsidP="00AF6439">
            <w:pPr>
              <w:jc w:val="right"/>
              <w:rPr>
                <w:rFonts w:ascii="Times New Roman" w:hAnsi="Times New Roman"/>
                <w:color w:val="000000"/>
                <w:sz w:val="22"/>
                <w:szCs w:val="22"/>
                <w:lang w:eastAsia="it-IT"/>
              </w:rPr>
            </w:pPr>
            <w:r w:rsidRPr="008B129E">
              <w:rPr>
                <w:rFonts w:ascii="Times New Roman" w:hAnsi="Times New Roman"/>
                <w:color w:val="000000"/>
                <w:sz w:val="22"/>
                <w:szCs w:val="22"/>
                <w:lang w:eastAsia="it-IT"/>
              </w:rPr>
              <w:t>somme residue</w:t>
            </w:r>
          </w:p>
        </w:tc>
        <w:tc>
          <w:tcPr>
            <w:tcW w:w="1001" w:type="pct"/>
            <w:noWrap/>
            <w:vAlign w:val="center"/>
            <w:hideMark/>
          </w:tcPr>
          <w:p w14:paraId="4E79156B" w14:textId="36B6FF8F" w:rsidR="000F5C52" w:rsidRPr="008B129E" w:rsidRDefault="000F5C52" w:rsidP="00AF6439">
            <w:pPr>
              <w:rPr>
                <w:rFonts w:ascii="Times New Roman" w:hAnsi="Times New Roman"/>
                <w:color w:val="000000"/>
                <w:sz w:val="22"/>
                <w:szCs w:val="22"/>
                <w:lang w:eastAsia="it-IT"/>
              </w:rPr>
            </w:pPr>
            <w:r w:rsidRPr="008B129E">
              <w:rPr>
                <w:rFonts w:ascii="Times New Roman" w:hAnsi="Times New Roman"/>
                <w:color w:val="000000"/>
                <w:sz w:val="22"/>
                <w:szCs w:val="22"/>
                <w:lang w:eastAsia="it-IT"/>
              </w:rPr>
              <w:t xml:space="preserve"> €            1</w:t>
            </w:r>
            <w:r w:rsidR="00146132" w:rsidRPr="008B129E">
              <w:rPr>
                <w:rFonts w:ascii="Times New Roman" w:hAnsi="Times New Roman"/>
                <w:color w:val="000000"/>
                <w:sz w:val="22"/>
                <w:szCs w:val="22"/>
                <w:lang w:eastAsia="it-IT"/>
              </w:rPr>
              <w:t>09</w:t>
            </w:r>
            <w:r w:rsidRPr="008B129E">
              <w:rPr>
                <w:rFonts w:ascii="Times New Roman" w:hAnsi="Times New Roman"/>
                <w:color w:val="000000"/>
                <w:sz w:val="22"/>
                <w:szCs w:val="22"/>
                <w:lang w:eastAsia="it-IT"/>
              </w:rPr>
              <w:t>.</w:t>
            </w:r>
            <w:r w:rsidR="00146132" w:rsidRPr="008B129E">
              <w:rPr>
                <w:rFonts w:ascii="Times New Roman" w:hAnsi="Times New Roman"/>
                <w:color w:val="000000"/>
                <w:sz w:val="22"/>
                <w:szCs w:val="22"/>
                <w:lang w:eastAsia="it-IT"/>
              </w:rPr>
              <w:t>05</w:t>
            </w:r>
            <w:r w:rsidRPr="008B129E">
              <w:rPr>
                <w:rFonts w:ascii="Times New Roman" w:hAnsi="Times New Roman"/>
                <w:color w:val="000000"/>
                <w:sz w:val="22"/>
                <w:szCs w:val="22"/>
                <w:lang w:eastAsia="it-IT"/>
              </w:rPr>
              <w:t>4,</w:t>
            </w:r>
            <w:r w:rsidR="00146132" w:rsidRPr="008B129E">
              <w:rPr>
                <w:rFonts w:ascii="Times New Roman" w:hAnsi="Times New Roman"/>
                <w:color w:val="000000"/>
                <w:sz w:val="22"/>
                <w:szCs w:val="22"/>
                <w:lang w:eastAsia="it-IT"/>
              </w:rPr>
              <w:t>40</w:t>
            </w:r>
            <w:r w:rsidRPr="008B129E">
              <w:rPr>
                <w:rFonts w:ascii="Times New Roman" w:hAnsi="Times New Roman"/>
                <w:color w:val="000000"/>
                <w:sz w:val="22"/>
                <w:szCs w:val="22"/>
                <w:lang w:eastAsia="it-IT"/>
              </w:rPr>
              <w:t xml:space="preserve"> </w:t>
            </w:r>
          </w:p>
        </w:tc>
        <w:tc>
          <w:tcPr>
            <w:tcW w:w="181" w:type="pct"/>
            <w:noWrap/>
            <w:vAlign w:val="center"/>
            <w:hideMark/>
          </w:tcPr>
          <w:p w14:paraId="1637953F" w14:textId="77777777" w:rsidR="000F5C52" w:rsidRPr="008B129E" w:rsidRDefault="000F5C52" w:rsidP="00AF6439">
            <w:pPr>
              <w:rPr>
                <w:rFonts w:ascii="Times New Roman" w:hAnsi="Times New Roman"/>
                <w:color w:val="000000"/>
                <w:sz w:val="22"/>
                <w:szCs w:val="22"/>
                <w:lang w:eastAsia="it-IT"/>
              </w:rPr>
            </w:pPr>
          </w:p>
        </w:tc>
        <w:tc>
          <w:tcPr>
            <w:tcW w:w="258" w:type="pct"/>
            <w:noWrap/>
            <w:vAlign w:val="center"/>
            <w:hideMark/>
          </w:tcPr>
          <w:p w14:paraId="6D655086" w14:textId="77777777" w:rsidR="000F5C52" w:rsidRPr="008B129E" w:rsidRDefault="000F5C52" w:rsidP="00AF6439">
            <w:pPr>
              <w:rPr>
                <w:rFonts w:ascii="Times New Roman" w:hAnsi="Times New Roman"/>
                <w:sz w:val="22"/>
                <w:szCs w:val="22"/>
                <w:lang w:eastAsia="it-IT"/>
              </w:rPr>
            </w:pPr>
          </w:p>
        </w:tc>
        <w:tc>
          <w:tcPr>
            <w:tcW w:w="258" w:type="pct"/>
            <w:noWrap/>
            <w:vAlign w:val="center"/>
            <w:hideMark/>
          </w:tcPr>
          <w:p w14:paraId="62CF1F30" w14:textId="77777777" w:rsidR="000F5C52" w:rsidRPr="008B129E" w:rsidRDefault="000F5C52" w:rsidP="00AF6439">
            <w:pPr>
              <w:rPr>
                <w:rFonts w:ascii="Times New Roman" w:hAnsi="Times New Roman"/>
                <w:sz w:val="22"/>
                <w:szCs w:val="22"/>
                <w:lang w:eastAsia="it-IT"/>
              </w:rPr>
            </w:pPr>
          </w:p>
        </w:tc>
        <w:tc>
          <w:tcPr>
            <w:tcW w:w="361" w:type="pct"/>
            <w:noWrap/>
            <w:vAlign w:val="center"/>
            <w:hideMark/>
          </w:tcPr>
          <w:p w14:paraId="3EEC4DAD" w14:textId="77777777" w:rsidR="000F5C52" w:rsidRPr="008B129E" w:rsidRDefault="000F5C52" w:rsidP="00AF6439">
            <w:pPr>
              <w:rPr>
                <w:rFonts w:ascii="Times New Roman" w:hAnsi="Times New Roman"/>
                <w:sz w:val="22"/>
                <w:szCs w:val="22"/>
                <w:lang w:eastAsia="it-IT"/>
              </w:rPr>
            </w:pPr>
          </w:p>
        </w:tc>
        <w:tc>
          <w:tcPr>
            <w:tcW w:w="258" w:type="pct"/>
            <w:noWrap/>
            <w:vAlign w:val="center"/>
            <w:hideMark/>
          </w:tcPr>
          <w:p w14:paraId="0A6CCC81" w14:textId="77777777" w:rsidR="000F5C52" w:rsidRPr="008B129E" w:rsidRDefault="000F5C52" w:rsidP="00AF6439">
            <w:pPr>
              <w:rPr>
                <w:rFonts w:ascii="Times New Roman" w:hAnsi="Times New Roman"/>
                <w:sz w:val="22"/>
                <w:szCs w:val="22"/>
                <w:lang w:eastAsia="it-IT"/>
              </w:rPr>
            </w:pPr>
          </w:p>
        </w:tc>
      </w:tr>
    </w:tbl>
    <w:p w14:paraId="6C14B95D" w14:textId="77777777" w:rsidR="000F5C52" w:rsidRPr="008B129E" w:rsidRDefault="000F5C52" w:rsidP="000F5C52">
      <w:pPr>
        <w:jc w:val="both"/>
        <w:rPr>
          <w:rFonts w:ascii="Times New Roman" w:hAnsi="Times New Roman"/>
          <w:sz w:val="22"/>
          <w:szCs w:val="22"/>
        </w:rPr>
      </w:pPr>
    </w:p>
    <w:p w14:paraId="72180CB5"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La programmazione per l’esercizio 2026 prevede le seguenti assunzioni:</w:t>
      </w:r>
    </w:p>
    <w:p w14:paraId="1FAC7990" w14:textId="77777777" w:rsidR="000F5C52" w:rsidRPr="008B129E" w:rsidRDefault="000F5C52" w:rsidP="000F5C52">
      <w:pPr>
        <w:jc w:val="both"/>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791"/>
        <w:gridCol w:w="1346"/>
        <w:gridCol w:w="1346"/>
        <w:gridCol w:w="1955"/>
        <w:gridCol w:w="803"/>
        <w:gridCol w:w="692"/>
        <w:gridCol w:w="692"/>
        <w:gridCol w:w="890"/>
        <w:gridCol w:w="692"/>
      </w:tblGrid>
      <w:tr w:rsidR="000F5C52" w:rsidRPr="008B129E" w14:paraId="53E07BC9" w14:textId="77777777" w:rsidTr="00AF6439">
        <w:trPr>
          <w:trHeight w:val="300"/>
        </w:trPr>
        <w:tc>
          <w:tcPr>
            <w:tcW w:w="268" w:type="pct"/>
            <w:noWrap/>
            <w:vAlign w:val="center"/>
            <w:hideMark/>
          </w:tcPr>
          <w:p w14:paraId="36C03BE4" w14:textId="77777777" w:rsidR="000F5C52" w:rsidRPr="008B129E" w:rsidRDefault="000F5C52" w:rsidP="00AF6439">
            <w:pPr>
              <w:rPr>
                <w:rFonts w:ascii="Times New Roman" w:hAnsi="Times New Roman"/>
                <w:sz w:val="22"/>
                <w:szCs w:val="22"/>
                <w:lang w:eastAsia="it-IT"/>
              </w:rPr>
            </w:pPr>
          </w:p>
        </w:tc>
        <w:tc>
          <w:tcPr>
            <w:tcW w:w="460" w:type="pct"/>
            <w:noWrap/>
            <w:vAlign w:val="center"/>
            <w:hideMark/>
          </w:tcPr>
          <w:p w14:paraId="07C6649C" w14:textId="77777777" w:rsidR="000F5C52" w:rsidRPr="008B129E" w:rsidRDefault="000F5C52" w:rsidP="00AF6439">
            <w:pPr>
              <w:rPr>
                <w:rFonts w:ascii="Times New Roman" w:hAnsi="Times New Roman"/>
                <w:sz w:val="22"/>
                <w:szCs w:val="22"/>
                <w:lang w:eastAsia="it-IT"/>
              </w:rPr>
            </w:pPr>
          </w:p>
        </w:tc>
        <w:tc>
          <w:tcPr>
            <w:tcW w:w="748" w:type="pct"/>
            <w:noWrap/>
            <w:vAlign w:val="center"/>
            <w:hideMark/>
          </w:tcPr>
          <w:p w14:paraId="610E72C9" w14:textId="77777777" w:rsidR="000F5C52" w:rsidRPr="008B129E" w:rsidRDefault="000F5C52" w:rsidP="00AF6439">
            <w:pPr>
              <w:rPr>
                <w:rFonts w:ascii="Times New Roman" w:hAnsi="Times New Roman"/>
                <w:sz w:val="22"/>
                <w:szCs w:val="22"/>
                <w:lang w:eastAsia="it-IT"/>
              </w:rPr>
            </w:pPr>
          </w:p>
        </w:tc>
        <w:tc>
          <w:tcPr>
            <w:tcW w:w="748" w:type="pct"/>
            <w:noWrap/>
            <w:vAlign w:val="center"/>
            <w:hideMark/>
          </w:tcPr>
          <w:p w14:paraId="0256791E" w14:textId="77777777" w:rsidR="000F5C52" w:rsidRPr="008B129E" w:rsidRDefault="000F5C52" w:rsidP="00AF6439">
            <w:pPr>
              <w:rPr>
                <w:rFonts w:ascii="Times New Roman" w:hAnsi="Times New Roman"/>
                <w:sz w:val="22"/>
                <w:szCs w:val="22"/>
                <w:lang w:eastAsia="it-IT"/>
              </w:rPr>
            </w:pPr>
          </w:p>
        </w:tc>
        <w:tc>
          <w:tcPr>
            <w:tcW w:w="575" w:type="pct"/>
            <w:noWrap/>
            <w:vAlign w:val="center"/>
            <w:hideMark/>
          </w:tcPr>
          <w:p w14:paraId="4A711D2F" w14:textId="77777777" w:rsidR="000F5C52" w:rsidRPr="008B129E" w:rsidRDefault="000F5C52" w:rsidP="00AF6439">
            <w:pPr>
              <w:jc w:val="center"/>
              <w:rPr>
                <w:rFonts w:ascii="Times New Roman" w:hAnsi="Times New Roman"/>
                <w:color w:val="000000"/>
                <w:sz w:val="22"/>
                <w:szCs w:val="22"/>
                <w:lang w:eastAsia="it-IT"/>
              </w:rPr>
            </w:pPr>
            <w:r w:rsidRPr="008B129E">
              <w:rPr>
                <w:rFonts w:ascii="Times New Roman" w:hAnsi="Times New Roman"/>
                <w:color w:val="000000"/>
                <w:sz w:val="22"/>
                <w:szCs w:val="22"/>
                <w:lang w:eastAsia="it-IT"/>
              </w:rPr>
              <w:t>2026</w:t>
            </w:r>
          </w:p>
        </w:tc>
        <w:tc>
          <w:tcPr>
            <w:tcW w:w="466" w:type="pct"/>
            <w:noWrap/>
            <w:vAlign w:val="center"/>
            <w:hideMark/>
          </w:tcPr>
          <w:p w14:paraId="70797123" w14:textId="77777777" w:rsidR="000F5C52" w:rsidRPr="008B129E" w:rsidRDefault="000F5C52" w:rsidP="00AF6439">
            <w:pPr>
              <w:jc w:val="center"/>
              <w:rPr>
                <w:rFonts w:ascii="Times New Roman" w:hAnsi="Times New Roman"/>
                <w:color w:val="000000"/>
                <w:sz w:val="22"/>
                <w:szCs w:val="22"/>
                <w:lang w:eastAsia="it-IT"/>
              </w:rPr>
            </w:pPr>
          </w:p>
        </w:tc>
        <w:tc>
          <w:tcPr>
            <w:tcW w:w="408" w:type="pct"/>
            <w:noWrap/>
            <w:vAlign w:val="center"/>
            <w:hideMark/>
          </w:tcPr>
          <w:p w14:paraId="7DF62D1E" w14:textId="77777777" w:rsidR="000F5C52" w:rsidRPr="008B129E" w:rsidRDefault="000F5C52" w:rsidP="00AF6439">
            <w:pPr>
              <w:rPr>
                <w:rFonts w:ascii="Times New Roman" w:hAnsi="Times New Roman"/>
                <w:sz w:val="22"/>
                <w:szCs w:val="22"/>
                <w:lang w:eastAsia="it-IT"/>
              </w:rPr>
            </w:pPr>
          </w:p>
        </w:tc>
        <w:tc>
          <w:tcPr>
            <w:tcW w:w="408" w:type="pct"/>
            <w:noWrap/>
            <w:vAlign w:val="center"/>
            <w:hideMark/>
          </w:tcPr>
          <w:p w14:paraId="682DDD32" w14:textId="77777777" w:rsidR="000F5C52" w:rsidRPr="008B129E" w:rsidRDefault="000F5C52" w:rsidP="00AF6439">
            <w:pPr>
              <w:rPr>
                <w:rFonts w:ascii="Times New Roman" w:hAnsi="Times New Roman"/>
                <w:sz w:val="22"/>
                <w:szCs w:val="22"/>
                <w:lang w:eastAsia="it-IT"/>
              </w:rPr>
            </w:pPr>
          </w:p>
        </w:tc>
        <w:tc>
          <w:tcPr>
            <w:tcW w:w="511" w:type="pct"/>
            <w:noWrap/>
            <w:vAlign w:val="center"/>
            <w:hideMark/>
          </w:tcPr>
          <w:p w14:paraId="428BA666" w14:textId="77777777" w:rsidR="000F5C52" w:rsidRPr="008B129E" w:rsidRDefault="000F5C52" w:rsidP="00AF6439">
            <w:pPr>
              <w:rPr>
                <w:rFonts w:ascii="Times New Roman" w:hAnsi="Times New Roman"/>
                <w:sz w:val="22"/>
                <w:szCs w:val="22"/>
                <w:lang w:eastAsia="it-IT"/>
              </w:rPr>
            </w:pPr>
          </w:p>
        </w:tc>
        <w:tc>
          <w:tcPr>
            <w:tcW w:w="408" w:type="pct"/>
            <w:noWrap/>
            <w:vAlign w:val="center"/>
            <w:hideMark/>
          </w:tcPr>
          <w:p w14:paraId="027B6BBA" w14:textId="77777777" w:rsidR="000F5C52" w:rsidRPr="008B129E" w:rsidRDefault="000F5C52" w:rsidP="00AF6439">
            <w:pPr>
              <w:rPr>
                <w:rFonts w:ascii="Times New Roman" w:hAnsi="Times New Roman"/>
                <w:sz w:val="22"/>
                <w:szCs w:val="22"/>
                <w:lang w:eastAsia="it-IT"/>
              </w:rPr>
            </w:pPr>
          </w:p>
        </w:tc>
      </w:tr>
      <w:tr w:rsidR="000F5C52" w:rsidRPr="008B129E" w14:paraId="0FEE2927" w14:textId="77777777" w:rsidTr="00AF6439">
        <w:trPr>
          <w:trHeight w:val="300"/>
        </w:trPr>
        <w:tc>
          <w:tcPr>
            <w:tcW w:w="2223" w:type="pct"/>
            <w:gridSpan w:val="4"/>
            <w:noWrap/>
            <w:vAlign w:val="center"/>
            <w:hideMark/>
          </w:tcPr>
          <w:p w14:paraId="65F9B738" w14:textId="77777777" w:rsidR="000F5C52" w:rsidRPr="008B129E" w:rsidRDefault="000F5C52" w:rsidP="00AF6439">
            <w:pPr>
              <w:jc w:val="right"/>
              <w:rPr>
                <w:rFonts w:ascii="Times New Roman" w:hAnsi="Times New Roman"/>
                <w:color w:val="000000"/>
                <w:sz w:val="22"/>
                <w:szCs w:val="22"/>
                <w:lang w:eastAsia="it-IT"/>
              </w:rPr>
            </w:pPr>
            <w:r w:rsidRPr="008B129E">
              <w:rPr>
                <w:rFonts w:ascii="Times New Roman" w:hAnsi="Times New Roman"/>
                <w:color w:val="000000"/>
                <w:sz w:val="22"/>
                <w:szCs w:val="22"/>
                <w:lang w:eastAsia="it-IT"/>
              </w:rPr>
              <w:t>risorse residue piano 2025</w:t>
            </w:r>
          </w:p>
        </w:tc>
        <w:tc>
          <w:tcPr>
            <w:tcW w:w="575" w:type="pct"/>
            <w:noWrap/>
            <w:vAlign w:val="center"/>
            <w:hideMark/>
          </w:tcPr>
          <w:p w14:paraId="37F6D116" w14:textId="1E5C4228" w:rsidR="000F5C52" w:rsidRPr="008B129E" w:rsidRDefault="000F5C52" w:rsidP="00AF6439">
            <w:pPr>
              <w:rPr>
                <w:rFonts w:ascii="Times New Roman" w:hAnsi="Times New Roman"/>
                <w:color w:val="000000"/>
                <w:sz w:val="22"/>
                <w:szCs w:val="22"/>
                <w:lang w:eastAsia="it-IT"/>
              </w:rPr>
            </w:pPr>
            <w:r w:rsidRPr="008B129E">
              <w:rPr>
                <w:rFonts w:ascii="Times New Roman" w:hAnsi="Times New Roman"/>
                <w:color w:val="000000"/>
                <w:sz w:val="22"/>
                <w:szCs w:val="22"/>
                <w:lang w:eastAsia="it-IT"/>
              </w:rPr>
              <w:t xml:space="preserve"> €            </w:t>
            </w:r>
            <w:r w:rsidR="00146132" w:rsidRPr="008B129E">
              <w:rPr>
                <w:rFonts w:ascii="Times New Roman" w:hAnsi="Times New Roman"/>
                <w:color w:val="000000"/>
                <w:sz w:val="22"/>
                <w:szCs w:val="22"/>
                <w:lang w:eastAsia="it-IT"/>
              </w:rPr>
              <w:t>109.054,40</w:t>
            </w:r>
          </w:p>
        </w:tc>
        <w:tc>
          <w:tcPr>
            <w:tcW w:w="466" w:type="pct"/>
            <w:noWrap/>
            <w:vAlign w:val="center"/>
            <w:hideMark/>
          </w:tcPr>
          <w:p w14:paraId="12C0087F" w14:textId="77777777" w:rsidR="000F5C52" w:rsidRPr="008B129E" w:rsidRDefault="000F5C52" w:rsidP="00AF6439">
            <w:pPr>
              <w:rPr>
                <w:rFonts w:ascii="Times New Roman" w:hAnsi="Times New Roman"/>
                <w:color w:val="000000"/>
                <w:sz w:val="22"/>
                <w:szCs w:val="22"/>
                <w:lang w:eastAsia="it-IT"/>
              </w:rPr>
            </w:pPr>
          </w:p>
        </w:tc>
        <w:tc>
          <w:tcPr>
            <w:tcW w:w="408" w:type="pct"/>
            <w:noWrap/>
            <w:vAlign w:val="center"/>
            <w:hideMark/>
          </w:tcPr>
          <w:p w14:paraId="6C1298E5" w14:textId="77777777" w:rsidR="000F5C52" w:rsidRPr="008B129E" w:rsidRDefault="000F5C52" w:rsidP="00AF6439">
            <w:pPr>
              <w:rPr>
                <w:rFonts w:ascii="Times New Roman" w:hAnsi="Times New Roman"/>
                <w:sz w:val="22"/>
                <w:szCs w:val="22"/>
                <w:lang w:eastAsia="it-IT"/>
              </w:rPr>
            </w:pPr>
          </w:p>
        </w:tc>
        <w:tc>
          <w:tcPr>
            <w:tcW w:w="408" w:type="pct"/>
            <w:noWrap/>
            <w:vAlign w:val="center"/>
            <w:hideMark/>
          </w:tcPr>
          <w:p w14:paraId="20808234" w14:textId="77777777" w:rsidR="000F5C52" w:rsidRPr="008B129E" w:rsidRDefault="000F5C52" w:rsidP="00AF6439">
            <w:pPr>
              <w:rPr>
                <w:rFonts w:ascii="Times New Roman" w:hAnsi="Times New Roman"/>
                <w:sz w:val="22"/>
                <w:szCs w:val="22"/>
                <w:lang w:eastAsia="it-IT"/>
              </w:rPr>
            </w:pPr>
          </w:p>
        </w:tc>
        <w:tc>
          <w:tcPr>
            <w:tcW w:w="511" w:type="pct"/>
            <w:noWrap/>
            <w:vAlign w:val="center"/>
            <w:hideMark/>
          </w:tcPr>
          <w:p w14:paraId="7D0FC5DA" w14:textId="77777777" w:rsidR="000F5C52" w:rsidRPr="008B129E" w:rsidRDefault="000F5C52" w:rsidP="00AF6439">
            <w:pPr>
              <w:rPr>
                <w:rFonts w:ascii="Times New Roman" w:hAnsi="Times New Roman"/>
                <w:sz w:val="22"/>
                <w:szCs w:val="22"/>
                <w:lang w:eastAsia="it-IT"/>
              </w:rPr>
            </w:pPr>
          </w:p>
        </w:tc>
        <w:tc>
          <w:tcPr>
            <w:tcW w:w="408" w:type="pct"/>
            <w:noWrap/>
            <w:vAlign w:val="center"/>
            <w:hideMark/>
          </w:tcPr>
          <w:p w14:paraId="6126288A" w14:textId="77777777" w:rsidR="000F5C52" w:rsidRPr="008B129E" w:rsidRDefault="000F5C52" w:rsidP="00AF6439">
            <w:pPr>
              <w:rPr>
                <w:rFonts w:ascii="Times New Roman" w:hAnsi="Times New Roman"/>
                <w:sz w:val="22"/>
                <w:szCs w:val="22"/>
                <w:lang w:eastAsia="it-IT"/>
              </w:rPr>
            </w:pPr>
          </w:p>
        </w:tc>
      </w:tr>
      <w:tr w:rsidR="000F5C52" w:rsidRPr="008B129E" w14:paraId="5B4857DF" w14:textId="77777777" w:rsidTr="00AF6439">
        <w:trPr>
          <w:trHeight w:val="300"/>
        </w:trPr>
        <w:tc>
          <w:tcPr>
            <w:tcW w:w="2223" w:type="pct"/>
            <w:gridSpan w:val="4"/>
            <w:noWrap/>
            <w:vAlign w:val="center"/>
            <w:hideMark/>
          </w:tcPr>
          <w:p w14:paraId="3EAD69AD" w14:textId="77777777" w:rsidR="000F5C52" w:rsidRPr="008B129E" w:rsidRDefault="000F5C52" w:rsidP="00AF6439">
            <w:pPr>
              <w:jc w:val="right"/>
              <w:rPr>
                <w:rFonts w:ascii="Times New Roman" w:hAnsi="Times New Roman"/>
                <w:color w:val="000000"/>
                <w:sz w:val="22"/>
                <w:szCs w:val="22"/>
                <w:lang w:eastAsia="it-IT"/>
              </w:rPr>
            </w:pPr>
            <w:r w:rsidRPr="008B129E">
              <w:rPr>
                <w:rFonts w:ascii="Times New Roman" w:hAnsi="Times New Roman"/>
                <w:color w:val="000000"/>
                <w:sz w:val="22"/>
                <w:szCs w:val="22"/>
                <w:lang w:eastAsia="it-IT"/>
              </w:rPr>
              <w:t>risorse derivanti da cessazioni 2025</w:t>
            </w:r>
          </w:p>
        </w:tc>
        <w:tc>
          <w:tcPr>
            <w:tcW w:w="575" w:type="pct"/>
            <w:noWrap/>
            <w:vAlign w:val="center"/>
            <w:hideMark/>
          </w:tcPr>
          <w:p w14:paraId="1DBBE7A5" w14:textId="77777777" w:rsidR="000F5C52" w:rsidRPr="008B129E" w:rsidRDefault="000F5C52" w:rsidP="00AF6439">
            <w:pPr>
              <w:rPr>
                <w:rFonts w:ascii="Times New Roman" w:hAnsi="Times New Roman"/>
                <w:color w:val="000000"/>
                <w:sz w:val="22"/>
                <w:szCs w:val="22"/>
                <w:lang w:eastAsia="it-IT"/>
              </w:rPr>
            </w:pPr>
            <w:r w:rsidRPr="008B129E">
              <w:rPr>
                <w:rFonts w:ascii="Times New Roman" w:hAnsi="Times New Roman"/>
                <w:color w:val="000000"/>
                <w:sz w:val="22"/>
                <w:szCs w:val="22"/>
                <w:lang w:eastAsia="it-IT"/>
              </w:rPr>
              <w:t xml:space="preserve"> €              66.978,88 </w:t>
            </w:r>
          </w:p>
        </w:tc>
        <w:tc>
          <w:tcPr>
            <w:tcW w:w="466" w:type="pct"/>
            <w:noWrap/>
            <w:vAlign w:val="center"/>
            <w:hideMark/>
          </w:tcPr>
          <w:p w14:paraId="4CB25798" w14:textId="77777777" w:rsidR="000F5C52" w:rsidRPr="008B129E" w:rsidRDefault="000F5C52" w:rsidP="00AF6439">
            <w:pPr>
              <w:rPr>
                <w:rFonts w:ascii="Times New Roman" w:hAnsi="Times New Roman"/>
                <w:color w:val="000000"/>
                <w:sz w:val="22"/>
                <w:szCs w:val="22"/>
                <w:lang w:eastAsia="it-IT"/>
              </w:rPr>
            </w:pPr>
          </w:p>
        </w:tc>
        <w:tc>
          <w:tcPr>
            <w:tcW w:w="408" w:type="pct"/>
            <w:noWrap/>
            <w:vAlign w:val="center"/>
            <w:hideMark/>
          </w:tcPr>
          <w:p w14:paraId="70D733F6" w14:textId="77777777" w:rsidR="000F5C52" w:rsidRPr="008B129E" w:rsidRDefault="000F5C52" w:rsidP="00AF6439">
            <w:pPr>
              <w:rPr>
                <w:rFonts w:ascii="Times New Roman" w:hAnsi="Times New Roman"/>
                <w:sz w:val="22"/>
                <w:szCs w:val="22"/>
                <w:lang w:eastAsia="it-IT"/>
              </w:rPr>
            </w:pPr>
          </w:p>
        </w:tc>
        <w:tc>
          <w:tcPr>
            <w:tcW w:w="408" w:type="pct"/>
            <w:noWrap/>
            <w:vAlign w:val="center"/>
            <w:hideMark/>
          </w:tcPr>
          <w:p w14:paraId="0AF16B18" w14:textId="77777777" w:rsidR="000F5C52" w:rsidRPr="008B129E" w:rsidRDefault="000F5C52" w:rsidP="00AF6439">
            <w:pPr>
              <w:rPr>
                <w:rFonts w:ascii="Times New Roman" w:hAnsi="Times New Roman"/>
                <w:sz w:val="22"/>
                <w:szCs w:val="22"/>
                <w:lang w:eastAsia="it-IT"/>
              </w:rPr>
            </w:pPr>
          </w:p>
        </w:tc>
        <w:tc>
          <w:tcPr>
            <w:tcW w:w="511" w:type="pct"/>
            <w:noWrap/>
            <w:vAlign w:val="center"/>
            <w:hideMark/>
          </w:tcPr>
          <w:p w14:paraId="6AA61B9B" w14:textId="77777777" w:rsidR="000F5C52" w:rsidRPr="008B129E" w:rsidRDefault="000F5C52" w:rsidP="00AF6439">
            <w:pPr>
              <w:rPr>
                <w:rFonts w:ascii="Times New Roman" w:hAnsi="Times New Roman"/>
                <w:sz w:val="22"/>
                <w:szCs w:val="22"/>
                <w:lang w:eastAsia="it-IT"/>
              </w:rPr>
            </w:pPr>
          </w:p>
        </w:tc>
        <w:tc>
          <w:tcPr>
            <w:tcW w:w="408" w:type="pct"/>
            <w:noWrap/>
            <w:vAlign w:val="center"/>
            <w:hideMark/>
          </w:tcPr>
          <w:p w14:paraId="017E09BD" w14:textId="77777777" w:rsidR="000F5C52" w:rsidRPr="008B129E" w:rsidRDefault="000F5C52" w:rsidP="00AF6439">
            <w:pPr>
              <w:rPr>
                <w:rFonts w:ascii="Times New Roman" w:hAnsi="Times New Roman"/>
                <w:sz w:val="22"/>
                <w:szCs w:val="22"/>
                <w:lang w:eastAsia="it-IT"/>
              </w:rPr>
            </w:pPr>
          </w:p>
        </w:tc>
      </w:tr>
      <w:tr w:rsidR="000F5C52" w:rsidRPr="008B129E" w14:paraId="36A3FDD6" w14:textId="77777777" w:rsidTr="00AF6439">
        <w:trPr>
          <w:trHeight w:val="300"/>
        </w:trPr>
        <w:tc>
          <w:tcPr>
            <w:tcW w:w="268" w:type="pct"/>
            <w:noWrap/>
            <w:vAlign w:val="center"/>
            <w:hideMark/>
          </w:tcPr>
          <w:p w14:paraId="015FF968" w14:textId="77777777" w:rsidR="000F5C52" w:rsidRPr="008B129E" w:rsidRDefault="000F5C52" w:rsidP="00AF6439">
            <w:pPr>
              <w:rPr>
                <w:rFonts w:ascii="Times New Roman" w:hAnsi="Times New Roman"/>
                <w:sz w:val="22"/>
                <w:szCs w:val="22"/>
                <w:lang w:eastAsia="it-IT"/>
              </w:rPr>
            </w:pPr>
          </w:p>
        </w:tc>
        <w:tc>
          <w:tcPr>
            <w:tcW w:w="460" w:type="pct"/>
            <w:noWrap/>
            <w:vAlign w:val="center"/>
            <w:hideMark/>
          </w:tcPr>
          <w:p w14:paraId="59EFBF3B" w14:textId="77777777" w:rsidR="000F5C52" w:rsidRPr="008B129E" w:rsidRDefault="000F5C52" w:rsidP="00AF6439">
            <w:pPr>
              <w:jc w:val="right"/>
              <w:rPr>
                <w:rFonts w:ascii="Times New Roman" w:hAnsi="Times New Roman"/>
                <w:sz w:val="22"/>
                <w:szCs w:val="22"/>
                <w:lang w:eastAsia="it-IT"/>
              </w:rPr>
            </w:pPr>
          </w:p>
        </w:tc>
        <w:tc>
          <w:tcPr>
            <w:tcW w:w="748" w:type="pct"/>
            <w:noWrap/>
            <w:vAlign w:val="center"/>
            <w:hideMark/>
          </w:tcPr>
          <w:p w14:paraId="5D8819F8" w14:textId="77777777" w:rsidR="000F5C52" w:rsidRPr="008B129E" w:rsidRDefault="000F5C52" w:rsidP="00AF6439">
            <w:pPr>
              <w:jc w:val="right"/>
              <w:rPr>
                <w:rFonts w:ascii="Times New Roman" w:hAnsi="Times New Roman"/>
                <w:sz w:val="22"/>
                <w:szCs w:val="22"/>
                <w:lang w:eastAsia="it-IT"/>
              </w:rPr>
            </w:pPr>
          </w:p>
        </w:tc>
        <w:tc>
          <w:tcPr>
            <w:tcW w:w="748" w:type="pct"/>
            <w:noWrap/>
            <w:vAlign w:val="center"/>
            <w:hideMark/>
          </w:tcPr>
          <w:p w14:paraId="495914BD" w14:textId="77777777" w:rsidR="000F5C52" w:rsidRPr="008B129E" w:rsidRDefault="000F5C52" w:rsidP="00AF6439">
            <w:pPr>
              <w:jc w:val="right"/>
              <w:rPr>
                <w:rFonts w:ascii="Times New Roman" w:hAnsi="Times New Roman"/>
                <w:color w:val="000000"/>
                <w:sz w:val="22"/>
                <w:szCs w:val="22"/>
                <w:lang w:eastAsia="it-IT"/>
              </w:rPr>
            </w:pPr>
            <w:r w:rsidRPr="008B129E">
              <w:rPr>
                <w:rFonts w:ascii="Times New Roman" w:hAnsi="Times New Roman"/>
                <w:color w:val="000000"/>
                <w:sz w:val="22"/>
                <w:szCs w:val="22"/>
                <w:lang w:eastAsia="it-IT"/>
              </w:rPr>
              <w:t>risorse disp.</w:t>
            </w:r>
          </w:p>
        </w:tc>
        <w:tc>
          <w:tcPr>
            <w:tcW w:w="575" w:type="pct"/>
            <w:noWrap/>
            <w:vAlign w:val="center"/>
            <w:hideMark/>
          </w:tcPr>
          <w:p w14:paraId="797D61BC" w14:textId="07856FE7" w:rsidR="000F5C52" w:rsidRPr="008B129E" w:rsidRDefault="000F5C52" w:rsidP="00AF6439">
            <w:pPr>
              <w:rPr>
                <w:rFonts w:ascii="Times New Roman" w:hAnsi="Times New Roman"/>
                <w:color w:val="000000"/>
                <w:sz w:val="22"/>
                <w:szCs w:val="22"/>
                <w:lang w:eastAsia="it-IT"/>
              </w:rPr>
            </w:pPr>
            <w:r w:rsidRPr="008B129E">
              <w:rPr>
                <w:rFonts w:ascii="Times New Roman" w:hAnsi="Times New Roman"/>
                <w:color w:val="000000"/>
                <w:sz w:val="22"/>
                <w:szCs w:val="22"/>
                <w:lang w:eastAsia="it-IT"/>
              </w:rPr>
              <w:t xml:space="preserve"> €            1</w:t>
            </w:r>
            <w:r w:rsidR="00146132" w:rsidRPr="008B129E">
              <w:rPr>
                <w:rFonts w:ascii="Times New Roman" w:hAnsi="Times New Roman"/>
                <w:color w:val="000000"/>
                <w:sz w:val="22"/>
                <w:szCs w:val="22"/>
                <w:lang w:eastAsia="it-IT"/>
              </w:rPr>
              <w:t>76</w:t>
            </w:r>
            <w:r w:rsidRPr="008B129E">
              <w:rPr>
                <w:rFonts w:ascii="Times New Roman" w:hAnsi="Times New Roman"/>
                <w:color w:val="000000"/>
                <w:sz w:val="22"/>
                <w:szCs w:val="22"/>
                <w:lang w:eastAsia="it-IT"/>
              </w:rPr>
              <w:t>.</w:t>
            </w:r>
            <w:r w:rsidR="00146132" w:rsidRPr="008B129E">
              <w:rPr>
                <w:rFonts w:ascii="Times New Roman" w:hAnsi="Times New Roman"/>
                <w:color w:val="000000"/>
                <w:sz w:val="22"/>
                <w:szCs w:val="22"/>
                <w:lang w:eastAsia="it-IT"/>
              </w:rPr>
              <w:t>033</w:t>
            </w:r>
            <w:r w:rsidRPr="008B129E">
              <w:rPr>
                <w:rFonts w:ascii="Times New Roman" w:hAnsi="Times New Roman"/>
                <w:color w:val="000000"/>
                <w:sz w:val="22"/>
                <w:szCs w:val="22"/>
                <w:lang w:eastAsia="it-IT"/>
              </w:rPr>
              <w:t>,</w:t>
            </w:r>
            <w:r w:rsidR="00146132" w:rsidRPr="008B129E">
              <w:rPr>
                <w:rFonts w:ascii="Times New Roman" w:hAnsi="Times New Roman"/>
                <w:color w:val="000000"/>
                <w:sz w:val="22"/>
                <w:szCs w:val="22"/>
                <w:lang w:eastAsia="it-IT"/>
              </w:rPr>
              <w:t>28</w:t>
            </w:r>
            <w:r w:rsidRPr="008B129E">
              <w:rPr>
                <w:rFonts w:ascii="Times New Roman" w:hAnsi="Times New Roman"/>
                <w:color w:val="000000"/>
                <w:sz w:val="22"/>
                <w:szCs w:val="22"/>
                <w:lang w:eastAsia="it-IT"/>
              </w:rPr>
              <w:t xml:space="preserve"> </w:t>
            </w:r>
          </w:p>
        </w:tc>
        <w:tc>
          <w:tcPr>
            <w:tcW w:w="466" w:type="pct"/>
            <w:noWrap/>
            <w:vAlign w:val="center"/>
            <w:hideMark/>
          </w:tcPr>
          <w:p w14:paraId="5A1B69A6" w14:textId="77777777" w:rsidR="000F5C52" w:rsidRPr="008B129E" w:rsidRDefault="000F5C52" w:rsidP="00AF6439">
            <w:pPr>
              <w:rPr>
                <w:rFonts w:ascii="Times New Roman" w:hAnsi="Times New Roman"/>
                <w:color w:val="000000"/>
                <w:sz w:val="22"/>
                <w:szCs w:val="22"/>
                <w:lang w:eastAsia="it-IT"/>
              </w:rPr>
            </w:pPr>
          </w:p>
        </w:tc>
        <w:tc>
          <w:tcPr>
            <w:tcW w:w="408" w:type="pct"/>
            <w:noWrap/>
            <w:vAlign w:val="center"/>
            <w:hideMark/>
          </w:tcPr>
          <w:p w14:paraId="68B0E4FC" w14:textId="77777777" w:rsidR="000F5C52" w:rsidRPr="008B129E" w:rsidRDefault="000F5C52" w:rsidP="00AF6439">
            <w:pPr>
              <w:rPr>
                <w:rFonts w:ascii="Times New Roman" w:hAnsi="Times New Roman"/>
                <w:sz w:val="22"/>
                <w:szCs w:val="22"/>
                <w:lang w:eastAsia="it-IT"/>
              </w:rPr>
            </w:pPr>
          </w:p>
        </w:tc>
        <w:tc>
          <w:tcPr>
            <w:tcW w:w="408" w:type="pct"/>
            <w:noWrap/>
            <w:vAlign w:val="center"/>
            <w:hideMark/>
          </w:tcPr>
          <w:p w14:paraId="654D9606" w14:textId="77777777" w:rsidR="000F5C52" w:rsidRPr="008B129E" w:rsidRDefault="000F5C52" w:rsidP="00AF6439">
            <w:pPr>
              <w:rPr>
                <w:rFonts w:ascii="Times New Roman" w:hAnsi="Times New Roman"/>
                <w:sz w:val="22"/>
                <w:szCs w:val="22"/>
                <w:lang w:eastAsia="it-IT"/>
              </w:rPr>
            </w:pPr>
          </w:p>
        </w:tc>
        <w:tc>
          <w:tcPr>
            <w:tcW w:w="511" w:type="pct"/>
            <w:noWrap/>
            <w:vAlign w:val="center"/>
            <w:hideMark/>
          </w:tcPr>
          <w:p w14:paraId="6C815565" w14:textId="77777777" w:rsidR="000F5C52" w:rsidRPr="008B129E" w:rsidRDefault="000F5C52" w:rsidP="00AF6439">
            <w:pPr>
              <w:rPr>
                <w:rFonts w:ascii="Times New Roman" w:hAnsi="Times New Roman"/>
                <w:sz w:val="22"/>
                <w:szCs w:val="22"/>
                <w:lang w:eastAsia="it-IT"/>
              </w:rPr>
            </w:pPr>
          </w:p>
        </w:tc>
        <w:tc>
          <w:tcPr>
            <w:tcW w:w="408" w:type="pct"/>
            <w:noWrap/>
            <w:vAlign w:val="center"/>
            <w:hideMark/>
          </w:tcPr>
          <w:p w14:paraId="38B5EF24" w14:textId="77777777" w:rsidR="000F5C52" w:rsidRPr="008B129E" w:rsidRDefault="000F5C52" w:rsidP="00AF6439">
            <w:pPr>
              <w:rPr>
                <w:rFonts w:ascii="Times New Roman" w:hAnsi="Times New Roman"/>
                <w:sz w:val="22"/>
                <w:szCs w:val="22"/>
                <w:lang w:eastAsia="it-IT"/>
              </w:rPr>
            </w:pPr>
          </w:p>
        </w:tc>
      </w:tr>
      <w:tr w:rsidR="000F5C52" w:rsidRPr="008B129E" w14:paraId="09C58ECE" w14:textId="77777777" w:rsidTr="00AF6439">
        <w:trPr>
          <w:trHeight w:val="585"/>
        </w:trPr>
        <w:tc>
          <w:tcPr>
            <w:tcW w:w="268" w:type="pct"/>
            <w:noWrap/>
            <w:vAlign w:val="center"/>
            <w:hideMark/>
          </w:tcPr>
          <w:p w14:paraId="4C4DD8B4" w14:textId="77777777" w:rsidR="000F5C52" w:rsidRPr="008B129E" w:rsidRDefault="000F5C52" w:rsidP="00AF6439">
            <w:pPr>
              <w:jc w:val="right"/>
              <w:rPr>
                <w:rFonts w:ascii="Times New Roman" w:hAnsi="Times New Roman"/>
                <w:color w:val="000000"/>
                <w:sz w:val="22"/>
                <w:szCs w:val="22"/>
                <w:lang w:eastAsia="it-IT"/>
              </w:rPr>
            </w:pPr>
            <w:r w:rsidRPr="008B129E">
              <w:rPr>
                <w:rFonts w:ascii="Times New Roman" w:hAnsi="Times New Roman"/>
                <w:color w:val="000000"/>
                <w:sz w:val="22"/>
                <w:szCs w:val="22"/>
                <w:lang w:eastAsia="it-IT"/>
              </w:rPr>
              <w:t>2</w:t>
            </w:r>
          </w:p>
        </w:tc>
        <w:tc>
          <w:tcPr>
            <w:tcW w:w="460" w:type="pct"/>
            <w:noWrap/>
            <w:vAlign w:val="center"/>
            <w:hideMark/>
          </w:tcPr>
          <w:p w14:paraId="617F42B0" w14:textId="77777777" w:rsidR="000F5C52" w:rsidRPr="008B129E" w:rsidRDefault="000F5C52" w:rsidP="00AF6439">
            <w:pPr>
              <w:jc w:val="center"/>
              <w:rPr>
                <w:rFonts w:ascii="Times New Roman" w:hAnsi="Times New Roman"/>
                <w:color w:val="000000"/>
                <w:sz w:val="22"/>
                <w:szCs w:val="22"/>
                <w:lang w:eastAsia="it-IT"/>
              </w:rPr>
            </w:pPr>
            <w:r w:rsidRPr="008B129E">
              <w:rPr>
                <w:rFonts w:ascii="Times New Roman" w:hAnsi="Times New Roman"/>
                <w:color w:val="000000"/>
                <w:sz w:val="22"/>
                <w:szCs w:val="22"/>
                <w:lang w:eastAsia="it-IT"/>
              </w:rPr>
              <w:t>D</w:t>
            </w:r>
          </w:p>
        </w:tc>
        <w:tc>
          <w:tcPr>
            <w:tcW w:w="1496" w:type="pct"/>
            <w:gridSpan w:val="2"/>
            <w:noWrap/>
            <w:vAlign w:val="center"/>
            <w:hideMark/>
          </w:tcPr>
          <w:p w14:paraId="6A2E36D9" w14:textId="77777777" w:rsidR="000F5C52" w:rsidRPr="008B129E" w:rsidRDefault="000F5C52" w:rsidP="00AF6439">
            <w:pPr>
              <w:jc w:val="center"/>
              <w:rPr>
                <w:rFonts w:ascii="Times New Roman" w:hAnsi="Times New Roman"/>
                <w:color w:val="000000"/>
                <w:sz w:val="22"/>
                <w:szCs w:val="22"/>
                <w:lang w:eastAsia="it-IT"/>
              </w:rPr>
            </w:pPr>
            <w:r w:rsidRPr="008B129E">
              <w:rPr>
                <w:rFonts w:ascii="Times New Roman" w:hAnsi="Times New Roman"/>
                <w:color w:val="000000"/>
                <w:sz w:val="22"/>
                <w:szCs w:val="22"/>
                <w:lang w:eastAsia="it-IT"/>
              </w:rPr>
              <w:t>Funzionario Ingegnere</w:t>
            </w:r>
          </w:p>
        </w:tc>
        <w:tc>
          <w:tcPr>
            <w:tcW w:w="575" w:type="pct"/>
            <w:noWrap/>
            <w:vAlign w:val="center"/>
            <w:hideMark/>
          </w:tcPr>
          <w:p w14:paraId="09FB05AB" w14:textId="77777777" w:rsidR="000F5C52" w:rsidRPr="008B129E" w:rsidRDefault="000F5C52" w:rsidP="00AF6439">
            <w:pPr>
              <w:rPr>
                <w:rFonts w:ascii="Times New Roman" w:hAnsi="Times New Roman"/>
                <w:color w:val="000000"/>
                <w:sz w:val="22"/>
                <w:szCs w:val="22"/>
                <w:lang w:eastAsia="it-IT"/>
              </w:rPr>
            </w:pPr>
            <w:r w:rsidRPr="008B129E">
              <w:rPr>
                <w:rFonts w:ascii="Times New Roman" w:hAnsi="Times New Roman"/>
                <w:color w:val="000000"/>
                <w:sz w:val="22"/>
                <w:szCs w:val="22"/>
                <w:lang w:eastAsia="it-IT"/>
              </w:rPr>
              <w:t xml:space="preserve"> €              66.983,18 </w:t>
            </w:r>
          </w:p>
        </w:tc>
        <w:tc>
          <w:tcPr>
            <w:tcW w:w="2202" w:type="pct"/>
            <w:gridSpan w:val="5"/>
            <w:vAlign w:val="center"/>
            <w:hideMark/>
          </w:tcPr>
          <w:p w14:paraId="7E1514A2" w14:textId="77777777" w:rsidR="000F5C52" w:rsidRPr="008B129E" w:rsidRDefault="000F5C52" w:rsidP="00AF6439">
            <w:pPr>
              <w:jc w:val="both"/>
              <w:rPr>
                <w:rFonts w:ascii="Times New Roman" w:hAnsi="Times New Roman"/>
                <w:sz w:val="22"/>
                <w:szCs w:val="22"/>
                <w:lang w:eastAsia="it-IT"/>
              </w:rPr>
            </w:pPr>
            <w:r w:rsidRPr="008B129E">
              <w:rPr>
                <w:rFonts w:ascii="Times New Roman" w:hAnsi="Times New Roman"/>
                <w:sz w:val="22"/>
                <w:szCs w:val="22"/>
                <w:lang w:eastAsia="it-IT"/>
              </w:rPr>
              <w:t>stabilizzazione ex art. 3, co. 5, del D.L. 44/2023 convertito con modificazioni dalla L. 21 giugno 2023, n. 74</w:t>
            </w:r>
          </w:p>
        </w:tc>
      </w:tr>
      <w:tr w:rsidR="000F5C52" w:rsidRPr="008B129E" w14:paraId="59D2C73E" w14:textId="77777777" w:rsidTr="00AF6439">
        <w:trPr>
          <w:trHeight w:val="585"/>
        </w:trPr>
        <w:tc>
          <w:tcPr>
            <w:tcW w:w="268" w:type="pct"/>
            <w:noWrap/>
            <w:vAlign w:val="center"/>
            <w:hideMark/>
          </w:tcPr>
          <w:p w14:paraId="7B04235D" w14:textId="77777777" w:rsidR="000F5C52" w:rsidRPr="008B129E" w:rsidRDefault="000F5C52" w:rsidP="00AF6439">
            <w:pPr>
              <w:jc w:val="right"/>
              <w:rPr>
                <w:rFonts w:ascii="Times New Roman" w:hAnsi="Times New Roman"/>
                <w:color w:val="000000"/>
                <w:sz w:val="22"/>
                <w:szCs w:val="22"/>
                <w:lang w:eastAsia="it-IT"/>
              </w:rPr>
            </w:pPr>
            <w:r w:rsidRPr="008B129E">
              <w:rPr>
                <w:rFonts w:ascii="Times New Roman" w:hAnsi="Times New Roman"/>
                <w:color w:val="000000"/>
                <w:sz w:val="22"/>
                <w:szCs w:val="22"/>
                <w:lang w:eastAsia="it-IT"/>
              </w:rPr>
              <w:t>2</w:t>
            </w:r>
          </w:p>
        </w:tc>
        <w:tc>
          <w:tcPr>
            <w:tcW w:w="460" w:type="pct"/>
            <w:noWrap/>
            <w:vAlign w:val="center"/>
            <w:hideMark/>
          </w:tcPr>
          <w:p w14:paraId="68CD9F45" w14:textId="77777777" w:rsidR="000F5C52" w:rsidRPr="008B129E" w:rsidRDefault="000F5C52" w:rsidP="00AF6439">
            <w:pPr>
              <w:jc w:val="center"/>
              <w:rPr>
                <w:rFonts w:ascii="Times New Roman" w:hAnsi="Times New Roman"/>
                <w:color w:val="000000"/>
                <w:sz w:val="22"/>
                <w:szCs w:val="22"/>
                <w:lang w:eastAsia="it-IT"/>
              </w:rPr>
            </w:pPr>
            <w:r w:rsidRPr="008B129E">
              <w:rPr>
                <w:rFonts w:ascii="Times New Roman" w:hAnsi="Times New Roman"/>
                <w:color w:val="000000"/>
                <w:sz w:val="22"/>
                <w:szCs w:val="22"/>
                <w:lang w:eastAsia="it-IT"/>
              </w:rPr>
              <w:t>D</w:t>
            </w:r>
          </w:p>
        </w:tc>
        <w:tc>
          <w:tcPr>
            <w:tcW w:w="1496" w:type="pct"/>
            <w:gridSpan w:val="2"/>
            <w:noWrap/>
            <w:vAlign w:val="center"/>
            <w:hideMark/>
          </w:tcPr>
          <w:p w14:paraId="3363F6E7" w14:textId="77777777" w:rsidR="000F5C52" w:rsidRPr="008B129E" w:rsidRDefault="000F5C52" w:rsidP="00AF6439">
            <w:pPr>
              <w:jc w:val="center"/>
              <w:rPr>
                <w:rFonts w:ascii="Times New Roman" w:hAnsi="Times New Roman"/>
                <w:color w:val="000000"/>
                <w:sz w:val="22"/>
                <w:szCs w:val="22"/>
                <w:lang w:eastAsia="it-IT"/>
              </w:rPr>
            </w:pPr>
            <w:r w:rsidRPr="008B129E">
              <w:rPr>
                <w:rFonts w:ascii="Times New Roman" w:hAnsi="Times New Roman"/>
                <w:color w:val="000000"/>
                <w:sz w:val="22"/>
                <w:szCs w:val="22"/>
                <w:lang w:eastAsia="it-IT"/>
              </w:rPr>
              <w:t>Funzionario Ingegnere</w:t>
            </w:r>
          </w:p>
        </w:tc>
        <w:tc>
          <w:tcPr>
            <w:tcW w:w="575" w:type="pct"/>
            <w:noWrap/>
            <w:vAlign w:val="center"/>
            <w:hideMark/>
          </w:tcPr>
          <w:p w14:paraId="1D03D7C8" w14:textId="77777777" w:rsidR="000F5C52" w:rsidRPr="008B129E" w:rsidRDefault="000F5C52" w:rsidP="00AF6439">
            <w:pPr>
              <w:rPr>
                <w:rFonts w:ascii="Times New Roman" w:hAnsi="Times New Roman"/>
                <w:color w:val="000000"/>
                <w:sz w:val="22"/>
                <w:szCs w:val="22"/>
                <w:lang w:eastAsia="it-IT"/>
              </w:rPr>
            </w:pPr>
            <w:r w:rsidRPr="008B129E">
              <w:rPr>
                <w:rFonts w:ascii="Times New Roman" w:hAnsi="Times New Roman"/>
                <w:color w:val="000000"/>
                <w:sz w:val="22"/>
                <w:szCs w:val="22"/>
                <w:lang w:eastAsia="it-IT"/>
              </w:rPr>
              <w:t xml:space="preserve"> €              66.983,18 </w:t>
            </w:r>
          </w:p>
        </w:tc>
        <w:tc>
          <w:tcPr>
            <w:tcW w:w="2202" w:type="pct"/>
            <w:gridSpan w:val="5"/>
            <w:vAlign w:val="center"/>
            <w:hideMark/>
          </w:tcPr>
          <w:p w14:paraId="3779E1A8" w14:textId="77777777" w:rsidR="000F5C52" w:rsidRPr="008B129E" w:rsidRDefault="000F5C52" w:rsidP="00AF6439">
            <w:pPr>
              <w:jc w:val="both"/>
              <w:rPr>
                <w:rFonts w:ascii="Times New Roman" w:hAnsi="Times New Roman"/>
                <w:sz w:val="22"/>
                <w:szCs w:val="22"/>
                <w:lang w:eastAsia="it-IT"/>
              </w:rPr>
            </w:pPr>
            <w:r w:rsidRPr="008B129E">
              <w:rPr>
                <w:rFonts w:ascii="Times New Roman" w:hAnsi="Times New Roman"/>
                <w:sz w:val="22"/>
                <w:szCs w:val="22"/>
                <w:lang w:eastAsia="it-IT"/>
              </w:rPr>
              <w:t>di cui uno mediante concorso ed uno mediante stabilizzazione ex art. 28, co. 1-bis, del D.L. 75/2023 convertito in L. 112/2023</w:t>
            </w:r>
          </w:p>
        </w:tc>
      </w:tr>
      <w:tr w:rsidR="000F5C52" w:rsidRPr="008B129E" w14:paraId="74CC51F4" w14:textId="77777777" w:rsidTr="00AF6439">
        <w:trPr>
          <w:trHeight w:val="300"/>
        </w:trPr>
        <w:tc>
          <w:tcPr>
            <w:tcW w:w="268" w:type="pct"/>
            <w:noWrap/>
            <w:vAlign w:val="center"/>
            <w:hideMark/>
          </w:tcPr>
          <w:p w14:paraId="06326DDE" w14:textId="77777777" w:rsidR="000F5C52" w:rsidRPr="008B129E" w:rsidRDefault="000F5C52" w:rsidP="00AF6439">
            <w:pPr>
              <w:jc w:val="both"/>
              <w:rPr>
                <w:rFonts w:ascii="Times New Roman" w:hAnsi="Times New Roman"/>
                <w:sz w:val="22"/>
                <w:szCs w:val="22"/>
                <w:lang w:eastAsia="it-IT"/>
              </w:rPr>
            </w:pPr>
          </w:p>
        </w:tc>
        <w:tc>
          <w:tcPr>
            <w:tcW w:w="1955" w:type="pct"/>
            <w:gridSpan w:val="3"/>
            <w:noWrap/>
            <w:vAlign w:val="center"/>
            <w:hideMark/>
          </w:tcPr>
          <w:p w14:paraId="57AD970B" w14:textId="77777777" w:rsidR="000F5C52" w:rsidRPr="008B129E" w:rsidRDefault="000F5C52" w:rsidP="00AF6439">
            <w:pPr>
              <w:jc w:val="right"/>
              <w:rPr>
                <w:rFonts w:ascii="Times New Roman" w:hAnsi="Times New Roman"/>
                <w:color w:val="000000"/>
                <w:sz w:val="22"/>
                <w:szCs w:val="22"/>
                <w:lang w:eastAsia="it-IT"/>
              </w:rPr>
            </w:pPr>
            <w:r w:rsidRPr="008B129E">
              <w:rPr>
                <w:rFonts w:ascii="Times New Roman" w:hAnsi="Times New Roman"/>
                <w:color w:val="000000"/>
                <w:sz w:val="22"/>
                <w:szCs w:val="22"/>
                <w:lang w:eastAsia="it-IT"/>
              </w:rPr>
              <w:t>risorse destinate al piano 2026</w:t>
            </w:r>
          </w:p>
        </w:tc>
        <w:tc>
          <w:tcPr>
            <w:tcW w:w="575" w:type="pct"/>
            <w:noWrap/>
            <w:vAlign w:val="center"/>
            <w:hideMark/>
          </w:tcPr>
          <w:p w14:paraId="39886015" w14:textId="77777777" w:rsidR="000F5C52" w:rsidRPr="008B129E" w:rsidRDefault="000F5C52" w:rsidP="00AF6439">
            <w:pPr>
              <w:rPr>
                <w:rFonts w:ascii="Times New Roman" w:hAnsi="Times New Roman"/>
                <w:color w:val="000000"/>
                <w:sz w:val="22"/>
                <w:szCs w:val="22"/>
                <w:lang w:eastAsia="it-IT"/>
              </w:rPr>
            </w:pPr>
            <w:r w:rsidRPr="008B129E">
              <w:rPr>
                <w:rFonts w:ascii="Times New Roman" w:hAnsi="Times New Roman"/>
                <w:color w:val="000000"/>
                <w:sz w:val="22"/>
                <w:szCs w:val="22"/>
                <w:lang w:eastAsia="it-IT"/>
              </w:rPr>
              <w:t xml:space="preserve"> €            133.966,36 </w:t>
            </w:r>
          </w:p>
        </w:tc>
        <w:tc>
          <w:tcPr>
            <w:tcW w:w="466" w:type="pct"/>
            <w:noWrap/>
            <w:vAlign w:val="center"/>
            <w:hideMark/>
          </w:tcPr>
          <w:p w14:paraId="3FDACC5D" w14:textId="77777777" w:rsidR="000F5C52" w:rsidRPr="008B129E" w:rsidRDefault="000F5C52" w:rsidP="00AF6439">
            <w:pPr>
              <w:rPr>
                <w:rFonts w:ascii="Times New Roman" w:hAnsi="Times New Roman"/>
                <w:color w:val="000000"/>
                <w:sz w:val="22"/>
                <w:szCs w:val="22"/>
                <w:lang w:eastAsia="it-IT"/>
              </w:rPr>
            </w:pPr>
          </w:p>
        </w:tc>
        <w:tc>
          <w:tcPr>
            <w:tcW w:w="408" w:type="pct"/>
            <w:noWrap/>
            <w:vAlign w:val="center"/>
            <w:hideMark/>
          </w:tcPr>
          <w:p w14:paraId="47DED13E" w14:textId="77777777" w:rsidR="000F5C52" w:rsidRPr="008B129E" w:rsidRDefault="000F5C52" w:rsidP="00AF6439">
            <w:pPr>
              <w:rPr>
                <w:rFonts w:ascii="Times New Roman" w:hAnsi="Times New Roman"/>
                <w:sz w:val="22"/>
                <w:szCs w:val="22"/>
                <w:lang w:eastAsia="it-IT"/>
              </w:rPr>
            </w:pPr>
          </w:p>
        </w:tc>
        <w:tc>
          <w:tcPr>
            <w:tcW w:w="408" w:type="pct"/>
            <w:noWrap/>
            <w:vAlign w:val="center"/>
            <w:hideMark/>
          </w:tcPr>
          <w:p w14:paraId="4A0E1FF9" w14:textId="77777777" w:rsidR="000F5C52" w:rsidRPr="008B129E" w:rsidRDefault="000F5C52" w:rsidP="00AF6439">
            <w:pPr>
              <w:rPr>
                <w:rFonts w:ascii="Times New Roman" w:hAnsi="Times New Roman"/>
                <w:sz w:val="22"/>
                <w:szCs w:val="22"/>
                <w:lang w:eastAsia="it-IT"/>
              </w:rPr>
            </w:pPr>
          </w:p>
        </w:tc>
        <w:tc>
          <w:tcPr>
            <w:tcW w:w="511" w:type="pct"/>
            <w:noWrap/>
            <w:vAlign w:val="center"/>
            <w:hideMark/>
          </w:tcPr>
          <w:p w14:paraId="1AED753E" w14:textId="77777777" w:rsidR="000F5C52" w:rsidRPr="008B129E" w:rsidRDefault="000F5C52" w:rsidP="00AF6439">
            <w:pPr>
              <w:rPr>
                <w:rFonts w:ascii="Times New Roman" w:hAnsi="Times New Roman"/>
                <w:sz w:val="22"/>
                <w:szCs w:val="22"/>
                <w:lang w:eastAsia="it-IT"/>
              </w:rPr>
            </w:pPr>
          </w:p>
        </w:tc>
        <w:tc>
          <w:tcPr>
            <w:tcW w:w="408" w:type="pct"/>
            <w:noWrap/>
            <w:vAlign w:val="center"/>
            <w:hideMark/>
          </w:tcPr>
          <w:p w14:paraId="22B78093" w14:textId="77777777" w:rsidR="000F5C52" w:rsidRPr="008B129E" w:rsidRDefault="000F5C52" w:rsidP="00AF6439">
            <w:pPr>
              <w:rPr>
                <w:rFonts w:ascii="Times New Roman" w:hAnsi="Times New Roman"/>
                <w:sz w:val="22"/>
                <w:szCs w:val="22"/>
                <w:lang w:eastAsia="it-IT"/>
              </w:rPr>
            </w:pPr>
          </w:p>
        </w:tc>
      </w:tr>
      <w:tr w:rsidR="000F5C52" w:rsidRPr="008B129E" w14:paraId="4763E59C" w14:textId="77777777" w:rsidTr="00AF6439">
        <w:trPr>
          <w:trHeight w:val="300"/>
        </w:trPr>
        <w:tc>
          <w:tcPr>
            <w:tcW w:w="268" w:type="pct"/>
            <w:noWrap/>
            <w:vAlign w:val="center"/>
            <w:hideMark/>
          </w:tcPr>
          <w:p w14:paraId="5D70F394" w14:textId="77777777" w:rsidR="000F5C52" w:rsidRPr="008B129E" w:rsidRDefault="000F5C52" w:rsidP="00AF6439">
            <w:pPr>
              <w:rPr>
                <w:rFonts w:ascii="Times New Roman" w:hAnsi="Times New Roman"/>
                <w:sz w:val="22"/>
                <w:szCs w:val="22"/>
                <w:lang w:eastAsia="it-IT"/>
              </w:rPr>
            </w:pPr>
          </w:p>
        </w:tc>
        <w:tc>
          <w:tcPr>
            <w:tcW w:w="460" w:type="pct"/>
            <w:noWrap/>
            <w:vAlign w:val="center"/>
            <w:hideMark/>
          </w:tcPr>
          <w:p w14:paraId="513D4B02" w14:textId="77777777" w:rsidR="000F5C52" w:rsidRPr="008B129E" w:rsidRDefault="000F5C52" w:rsidP="00AF6439">
            <w:pPr>
              <w:rPr>
                <w:rFonts w:ascii="Times New Roman" w:hAnsi="Times New Roman"/>
                <w:sz w:val="22"/>
                <w:szCs w:val="22"/>
                <w:lang w:eastAsia="it-IT"/>
              </w:rPr>
            </w:pPr>
          </w:p>
        </w:tc>
        <w:tc>
          <w:tcPr>
            <w:tcW w:w="1496" w:type="pct"/>
            <w:gridSpan w:val="2"/>
            <w:noWrap/>
            <w:vAlign w:val="center"/>
            <w:hideMark/>
          </w:tcPr>
          <w:p w14:paraId="37736830" w14:textId="77777777" w:rsidR="000F5C52" w:rsidRPr="008B129E" w:rsidRDefault="000F5C52" w:rsidP="00AF6439">
            <w:pPr>
              <w:jc w:val="right"/>
              <w:rPr>
                <w:rFonts w:ascii="Times New Roman" w:hAnsi="Times New Roman"/>
                <w:color w:val="000000"/>
                <w:sz w:val="22"/>
                <w:szCs w:val="22"/>
                <w:lang w:eastAsia="it-IT"/>
              </w:rPr>
            </w:pPr>
            <w:r w:rsidRPr="008B129E">
              <w:rPr>
                <w:rFonts w:ascii="Times New Roman" w:hAnsi="Times New Roman"/>
                <w:color w:val="000000"/>
                <w:sz w:val="22"/>
                <w:szCs w:val="22"/>
                <w:lang w:eastAsia="it-IT"/>
              </w:rPr>
              <w:t>somme residue</w:t>
            </w:r>
          </w:p>
        </w:tc>
        <w:tc>
          <w:tcPr>
            <w:tcW w:w="575" w:type="pct"/>
            <w:noWrap/>
            <w:vAlign w:val="center"/>
            <w:hideMark/>
          </w:tcPr>
          <w:p w14:paraId="6170D8D2" w14:textId="2CD7521C" w:rsidR="000F5C52" w:rsidRPr="008B129E" w:rsidRDefault="000F5C52" w:rsidP="00AF6439">
            <w:pPr>
              <w:rPr>
                <w:rFonts w:ascii="Times New Roman" w:hAnsi="Times New Roman"/>
                <w:color w:val="000000"/>
                <w:sz w:val="22"/>
                <w:szCs w:val="22"/>
                <w:lang w:eastAsia="it-IT"/>
              </w:rPr>
            </w:pPr>
            <w:r w:rsidRPr="008B129E">
              <w:rPr>
                <w:rFonts w:ascii="Times New Roman" w:hAnsi="Times New Roman"/>
                <w:color w:val="000000"/>
                <w:sz w:val="22"/>
                <w:szCs w:val="22"/>
                <w:lang w:eastAsia="it-IT"/>
              </w:rPr>
              <w:t xml:space="preserve"> €              4</w:t>
            </w:r>
            <w:r w:rsidR="00146132" w:rsidRPr="008B129E">
              <w:rPr>
                <w:rFonts w:ascii="Times New Roman" w:hAnsi="Times New Roman"/>
                <w:color w:val="000000"/>
                <w:sz w:val="22"/>
                <w:szCs w:val="22"/>
                <w:lang w:eastAsia="it-IT"/>
              </w:rPr>
              <w:t>2</w:t>
            </w:r>
            <w:r w:rsidRPr="008B129E">
              <w:rPr>
                <w:rFonts w:ascii="Times New Roman" w:hAnsi="Times New Roman"/>
                <w:color w:val="000000"/>
                <w:sz w:val="22"/>
                <w:szCs w:val="22"/>
                <w:lang w:eastAsia="it-IT"/>
              </w:rPr>
              <w:t>.</w:t>
            </w:r>
            <w:r w:rsidR="00146132" w:rsidRPr="008B129E">
              <w:rPr>
                <w:rFonts w:ascii="Times New Roman" w:hAnsi="Times New Roman"/>
                <w:color w:val="000000"/>
                <w:sz w:val="22"/>
                <w:szCs w:val="22"/>
                <w:lang w:eastAsia="it-IT"/>
              </w:rPr>
              <w:t>066</w:t>
            </w:r>
            <w:r w:rsidRPr="008B129E">
              <w:rPr>
                <w:rFonts w:ascii="Times New Roman" w:hAnsi="Times New Roman"/>
                <w:color w:val="000000"/>
                <w:sz w:val="22"/>
                <w:szCs w:val="22"/>
                <w:lang w:eastAsia="it-IT"/>
              </w:rPr>
              <w:t>,</w:t>
            </w:r>
            <w:r w:rsidR="00146132" w:rsidRPr="008B129E">
              <w:rPr>
                <w:rFonts w:ascii="Times New Roman" w:hAnsi="Times New Roman"/>
                <w:color w:val="000000"/>
                <w:sz w:val="22"/>
                <w:szCs w:val="22"/>
                <w:lang w:eastAsia="it-IT"/>
              </w:rPr>
              <w:t>92</w:t>
            </w:r>
            <w:r w:rsidRPr="008B129E">
              <w:rPr>
                <w:rFonts w:ascii="Times New Roman" w:hAnsi="Times New Roman"/>
                <w:color w:val="000000"/>
                <w:sz w:val="22"/>
                <w:szCs w:val="22"/>
                <w:lang w:eastAsia="it-IT"/>
              </w:rPr>
              <w:t xml:space="preserve"> </w:t>
            </w:r>
          </w:p>
        </w:tc>
        <w:tc>
          <w:tcPr>
            <w:tcW w:w="466" w:type="pct"/>
            <w:noWrap/>
            <w:vAlign w:val="center"/>
            <w:hideMark/>
          </w:tcPr>
          <w:p w14:paraId="413AD2E5" w14:textId="77777777" w:rsidR="000F5C52" w:rsidRPr="008B129E" w:rsidRDefault="000F5C52" w:rsidP="00AF6439">
            <w:pPr>
              <w:rPr>
                <w:rFonts w:ascii="Times New Roman" w:hAnsi="Times New Roman"/>
                <w:color w:val="000000"/>
                <w:sz w:val="22"/>
                <w:szCs w:val="22"/>
                <w:lang w:eastAsia="it-IT"/>
              </w:rPr>
            </w:pPr>
          </w:p>
        </w:tc>
        <w:tc>
          <w:tcPr>
            <w:tcW w:w="408" w:type="pct"/>
            <w:noWrap/>
            <w:vAlign w:val="center"/>
            <w:hideMark/>
          </w:tcPr>
          <w:p w14:paraId="08B97688" w14:textId="77777777" w:rsidR="000F5C52" w:rsidRPr="008B129E" w:rsidRDefault="000F5C52" w:rsidP="00AF6439">
            <w:pPr>
              <w:rPr>
                <w:rFonts w:ascii="Times New Roman" w:hAnsi="Times New Roman"/>
                <w:sz w:val="22"/>
                <w:szCs w:val="22"/>
                <w:lang w:eastAsia="it-IT"/>
              </w:rPr>
            </w:pPr>
          </w:p>
        </w:tc>
        <w:tc>
          <w:tcPr>
            <w:tcW w:w="408" w:type="pct"/>
            <w:noWrap/>
            <w:vAlign w:val="center"/>
            <w:hideMark/>
          </w:tcPr>
          <w:p w14:paraId="4E0502FE" w14:textId="77777777" w:rsidR="000F5C52" w:rsidRPr="008B129E" w:rsidRDefault="000F5C52" w:rsidP="00AF6439">
            <w:pPr>
              <w:rPr>
                <w:rFonts w:ascii="Times New Roman" w:hAnsi="Times New Roman"/>
                <w:sz w:val="22"/>
                <w:szCs w:val="22"/>
                <w:lang w:eastAsia="it-IT"/>
              </w:rPr>
            </w:pPr>
          </w:p>
        </w:tc>
        <w:tc>
          <w:tcPr>
            <w:tcW w:w="511" w:type="pct"/>
            <w:noWrap/>
            <w:vAlign w:val="center"/>
            <w:hideMark/>
          </w:tcPr>
          <w:p w14:paraId="31509DF8" w14:textId="77777777" w:rsidR="000F5C52" w:rsidRPr="008B129E" w:rsidRDefault="000F5C52" w:rsidP="00AF6439">
            <w:pPr>
              <w:rPr>
                <w:rFonts w:ascii="Times New Roman" w:hAnsi="Times New Roman"/>
                <w:sz w:val="22"/>
                <w:szCs w:val="22"/>
                <w:lang w:eastAsia="it-IT"/>
              </w:rPr>
            </w:pPr>
          </w:p>
        </w:tc>
        <w:tc>
          <w:tcPr>
            <w:tcW w:w="408" w:type="pct"/>
            <w:noWrap/>
            <w:vAlign w:val="center"/>
            <w:hideMark/>
          </w:tcPr>
          <w:p w14:paraId="7CC908CF" w14:textId="77777777" w:rsidR="000F5C52" w:rsidRPr="008B129E" w:rsidRDefault="000F5C52" w:rsidP="00AF6439">
            <w:pPr>
              <w:rPr>
                <w:rFonts w:ascii="Times New Roman" w:hAnsi="Times New Roman"/>
                <w:sz w:val="22"/>
                <w:szCs w:val="22"/>
                <w:lang w:eastAsia="it-IT"/>
              </w:rPr>
            </w:pPr>
          </w:p>
        </w:tc>
      </w:tr>
    </w:tbl>
    <w:p w14:paraId="5E6C679D" w14:textId="77777777" w:rsidR="000F5C52" w:rsidRPr="008B129E" w:rsidRDefault="000F5C52" w:rsidP="000F5C52">
      <w:pPr>
        <w:jc w:val="both"/>
        <w:rPr>
          <w:rFonts w:ascii="Times New Roman" w:hAnsi="Times New Roman"/>
          <w:sz w:val="22"/>
          <w:szCs w:val="22"/>
        </w:rPr>
      </w:pPr>
    </w:p>
    <w:p w14:paraId="7FCFD8FC" w14:textId="77777777" w:rsidR="000F5C52" w:rsidRPr="008B129E" w:rsidRDefault="000F5C52" w:rsidP="000F5C52">
      <w:pPr>
        <w:jc w:val="both"/>
        <w:rPr>
          <w:rFonts w:ascii="Times New Roman" w:hAnsi="Times New Roman"/>
          <w:sz w:val="22"/>
          <w:szCs w:val="22"/>
        </w:rPr>
      </w:pPr>
      <w:r w:rsidRPr="008B129E">
        <w:rPr>
          <w:rFonts w:ascii="Times New Roman" w:hAnsi="Times New Roman"/>
          <w:sz w:val="22"/>
          <w:szCs w:val="22"/>
        </w:rPr>
        <w:t>La programmazione per l’esercizio 2027 non prevede alcuna assunzione</w:t>
      </w:r>
    </w:p>
    <w:bookmarkEnd w:id="0"/>
    <w:p w14:paraId="7750EA54" w14:textId="77777777" w:rsidR="001A6BA9" w:rsidRPr="008B129E" w:rsidRDefault="001A6BA9">
      <w:pPr>
        <w:rPr>
          <w:rFonts w:ascii="Times New Roman" w:hAnsi="Times New Roman"/>
          <w:sz w:val="22"/>
          <w:szCs w:val="22"/>
        </w:rPr>
      </w:pPr>
    </w:p>
    <w:sectPr w:rsidR="001A6BA9" w:rsidRPr="008B129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CCBB" w14:textId="77777777" w:rsidR="008735FB" w:rsidRDefault="008735FB" w:rsidP="000F5C52">
      <w:r>
        <w:separator/>
      </w:r>
    </w:p>
  </w:endnote>
  <w:endnote w:type="continuationSeparator" w:id="0">
    <w:p w14:paraId="3547E284" w14:textId="77777777" w:rsidR="008735FB" w:rsidRDefault="008735FB" w:rsidP="000F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4E47" w14:textId="77777777" w:rsidR="008735FB" w:rsidRDefault="008735FB" w:rsidP="000F5C52">
      <w:r>
        <w:separator/>
      </w:r>
    </w:p>
  </w:footnote>
  <w:footnote w:type="continuationSeparator" w:id="0">
    <w:p w14:paraId="454FD320" w14:textId="77777777" w:rsidR="008735FB" w:rsidRDefault="008735FB" w:rsidP="000F5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28D3"/>
    <w:multiLevelType w:val="hybridMultilevel"/>
    <w:tmpl w:val="CF0A44AC"/>
    <w:lvl w:ilvl="0" w:tplc="FFFFFFFF">
      <w:start w:val="1"/>
      <w:numFmt w:val="lowerLetter"/>
      <w:lvlText w:val="%1)"/>
      <w:lvlJc w:val="left"/>
      <w:pPr>
        <w:ind w:left="1440" w:hanging="360"/>
      </w:pPr>
    </w:lvl>
    <w:lvl w:ilvl="1" w:tplc="0410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3B7B2461"/>
    <w:multiLevelType w:val="hybridMultilevel"/>
    <w:tmpl w:val="B6161ED2"/>
    <w:lvl w:ilvl="0" w:tplc="04100017">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004701547">
    <w:abstractNumId w:val="1"/>
  </w:num>
  <w:num w:numId="2" w16cid:durableId="73297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52"/>
    <w:rsid w:val="00020944"/>
    <w:rsid w:val="0005079E"/>
    <w:rsid w:val="000E51AB"/>
    <w:rsid w:val="000F5C52"/>
    <w:rsid w:val="00137EFD"/>
    <w:rsid w:val="00146132"/>
    <w:rsid w:val="001A6BA9"/>
    <w:rsid w:val="001B6244"/>
    <w:rsid w:val="001F7040"/>
    <w:rsid w:val="00256A76"/>
    <w:rsid w:val="00306860"/>
    <w:rsid w:val="00355E00"/>
    <w:rsid w:val="00382370"/>
    <w:rsid w:val="003D2ED2"/>
    <w:rsid w:val="003E3741"/>
    <w:rsid w:val="0040393A"/>
    <w:rsid w:val="005202EB"/>
    <w:rsid w:val="00523B20"/>
    <w:rsid w:val="00534651"/>
    <w:rsid w:val="00541CE9"/>
    <w:rsid w:val="006328A4"/>
    <w:rsid w:val="006334D6"/>
    <w:rsid w:val="00677E4D"/>
    <w:rsid w:val="0083036B"/>
    <w:rsid w:val="008735FB"/>
    <w:rsid w:val="008B129E"/>
    <w:rsid w:val="008E416A"/>
    <w:rsid w:val="00922BBB"/>
    <w:rsid w:val="009A21C8"/>
    <w:rsid w:val="009B5332"/>
    <w:rsid w:val="00BA126C"/>
    <w:rsid w:val="00BC46E5"/>
    <w:rsid w:val="00BE30DD"/>
    <w:rsid w:val="00CA4E33"/>
    <w:rsid w:val="00CC2741"/>
    <w:rsid w:val="00CE2E15"/>
    <w:rsid w:val="00D546BE"/>
    <w:rsid w:val="00DD4EB2"/>
    <w:rsid w:val="00E468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4E92"/>
  <w15:chartTrackingRefBased/>
  <w15:docId w15:val="{861987E8-EE4B-4C39-93DB-E65EA48E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5C52"/>
    <w:pPr>
      <w:spacing w:after="0" w:line="240" w:lineRule="auto"/>
    </w:pPr>
    <w:rPr>
      <w:rFonts w:ascii="Calibri" w:eastAsia="Calibri" w:hAnsi="Calibri" w:cs="Times New Roman"/>
      <w:sz w:val="24"/>
      <w:szCs w:val="24"/>
    </w:rPr>
  </w:style>
  <w:style w:type="paragraph" w:styleId="Titolo1">
    <w:name w:val="heading 1"/>
    <w:basedOn w:val="Normale"/>
    <w:next w:val="Normale"/>
    <w:link w:val="Titolo1Carattere"/>
    <w:uiPriority w:val="9"/>
    <w:qFormat/>
    <w:rsid w:val="000F5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F5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F5C5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F5C5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F5C5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F5C5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F5C5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F5C5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F5C5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5C5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F5C5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F5C5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F5C5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F5C5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F5C5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F5C5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F5C5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F5C52"/>
    <w:rPr>
      <w:rFonts w:eastAsiaTheme="majorEastAsia" w:cstheme="majorBidi"/>
      <w:color w:val="272727" w:themeColor="text1" w:themeTint="D8"/>
    </w:rPr>
  </w:style>
  <w:style w:type="paragraph" w:styleId="Titolo">
    <w:name w:val="Title"/>
    <w:basedOn w:val="Normale"/>
    <w:next w:val="Normale"/>
    <w:link w:val="TitoloCarattere"/>
    <w:uiPriority w:val="10"/>
    <w:qFormat/>
    <w:rsid w:val="000F5C5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F5C5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F5C5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F5C5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F5C5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F5C52"/>
    <w:rPr>
      <w:i/>
      <w:iCs/>
      <w:color w:val="404040" w:themeColor="text1" w:themeTint="BF"/>
    </w:rPr>
  </w:style>
  <w:style w:type="paragraph" w:styleId="Paragrafoelenco">
    <w:name w:val="List Paragraph"/>
    <w:basedOn w:val="Normale"/>
    <w:uiPriority w:val="34"/>
    <w:qFormat/>
    <w:rsid w:val="000F5C52"/>
    <w:pPr>
      <w:ind w:left="720"/>
      <w:contextualSpacing/>
    </w:pPr>
  </w:style>
  <w:style w:type="character" w:styleId="Enfasiintensa">
    <w:name w:val="Intense Emphasis"/>
    <w:basedOn w:val="Carpredefinitoparagrafo"/>
    <w:uiPriority w:val="21"/>
    <w:qFormat/>
    <w:rsid w:val="000F5C52"/>
    <w:rPr>
      <w:i/>
      <w:iCs/>
      <w:color w:val="0F4761" w:themeColor="accent1" w:themeShade="BF"/>
    </w:rPr>
  </w:style>
  <w:style w:type="paragraph" w:styleId="Citazioneintensa">
    <w:name w:val="Intense Quote"/>
    <w:basedOn w:val="Normale"/>
    <w:next w:val="Normale"/>
    <w:link w:val="CitazioneintensaCarattere"/>
    <w:uiPriority w:val="30"/>
    <w:qFormat/>
    <w:rsid w:val="000F5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F5C52"/>
    <w:rPr>
      <w:i/>
      <w:iCs/>
      <w:color w:val="0F4761" w:themeColor="accent1" w:themeShade="BF"/>
    </w:rPr>
  </w:style>
  <w:style w:type="character" w:styleId="Riferimentointenso">
    <w:name w:val="Intense Reference"/>
    <w:basedOn w:val="Carpredefinitoparagrafo"/>
    <w:uiPriority w:val="32"/>
    <w:qFormat/>
    <w:rsid w:val="000F5C52"/>
    <w:rPr>
      <w:b/>
      <w:bCs/>
      <w:smallCaps/>
      <w:color w:val="0F4761" w:themeColor="accent1" w:themeShade="BF"/>
      <w:spacing w:val="5"/>
    </w:rPr>
  </w:style>
  <w:style w:type="paragraph" w:styleId="Testonotaapidipagina">
    <w:name w:val="footnote text"/>
    <w:basedOn w:val="Normale"/>
    <w:link w:val="TestonotaapidipaginaCarattere"/>
    <w:rsid w:val="000F5C52"/>
    <w:rPr>
      <w:rFonts w:ascii="Times New Roman" w:eastAsia="Times New Roman" w:hAnsi="Times New Roman"/>
      <w:sz w:val="20"/>
      <w:szCs w:val="20"/>
      <w:lang w:val="x-none" w:eastAsia="it-IT"/>
    </w:rPr>
  </w:style>
  <w:style w:type="character" w:customStyle="1" w:styleId="TestonotaapidipaginaCarattere">
    <w:name w:val="Testo nota a piè di pagina Carattere"/>
    <w:basedOn w:val="Carpredefinitoparagrafo"/>
    <w:link w:val="Testonotaapidipagina"/>
    <w:rsid w:val="000F5C52"/>
    <w:rPr>
      <w:rFonts w:ascii="Times New Roman" w:eastAsia="Times New Roman" w:hAnsi="Times New Roman" w:cs="Times New Roman"/>
      <w:sz w:val="20"/>
      <w:szCs w:val="20"/>
      <w:lang w:val="x-none" w:eastAsia="it-IT"/>
    </w:rPr>
  </w:style>
  <w:style w:type="paragraph" w:customStyle="1" w:styleId="Standard">
    <w:name w:val="Standard"/>
    <w:rsid w:val="000F5C52"/>
    <w:pPr>
      <w:suppressAutoHyphens/>
      <w:overflowPunct w:val="0"/>
      <w:autoSpaceDN w:val="0"/>
      <w:spacing w:after="0" w:line="240" w:lineRule="auto"/>
      <w:textAlignment w:val="baseline"/>
    </w:pPr>
    <w:rPr>
      <w:rFonts w:ascii="Times New Roman" w:eastAsia="Times New Roman" w:hAnsi="Times New Roman" w:cs="Times New Roman"/>
      <w:kern w:val="3"/>
      <w:sz w:val="24"/>
      <w:szCs w:val="24"/>
      <w:lang w:eastAsia="it-IT"/>
    </w:rPr>
  </w:style>
  <w:style w:type="character" w:customStyle="1" w:styleId="Carpredefinitoparagrafo0">
    <w:name w:val="Car.predefinitoparagrafo"/>
    <w:rsid w:val="000F5C52"/>
  </w:style>
  <w:style w:type="paragraph" w:customStyle="1" w:styleId="Contenutotabella">
    <w:name w:val="Contenuto tabella"/>
    <w:basedOn w:val="Normale"/>
    <w:rsid w:val="000F5C52"/>
    <w:pPr>
      <w:suppressLineNumbers/>
      <w:suppressAutoHyphens/>
    </w:pPr>
    <w:rPr>
      <w:rFonts w:ascii="Times New Roman" w:eastAsia="Times New Roman" w:hAnsi="Times New Roman"/>
      <w:sz w:val="20"/>
      <w:szCs w:val="20"/>
      <w:lang w:eastAsia="ar-SA"/>
    </w:rPr>
  </w:style>
  <w:style w:type="character" w:styleId="Rimandonotaapidipagina">
    <w:name w:val="footnote reference"/>
    <w:uiPriority w:val="99"/>
    <w:semiHidden/>
    <w:unhideWhenUsed/>
    <w:rsid w:val="000F5C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stema-bdi.it/cgi-bin/getnomos.exe?nomos=/Nomos/zn/zn55_03_11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istema-bdi.it/cgi-bin/getnomos.exe?nomos=/Nomos/zn/zn27_08_044.htm" TargetMode="External"/><Relationship Id="rId4" Type="http://schemas.openxmlformats.org/officeDocument/2006/relationships/settings" Target="settings.xml"/><Relationship Id="rId9" Type="http://schemas.openxmlformats.org/officeDocument/2006/relationships/hyperlink" Target="https://www.sistema-bdi.it/cgi-bin/getnomos.exe?nomos=/Nomos/zn/zn55_03_112.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99550-F69F-4932-8413-0C525F45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5087</Words>
  <Characters>28996</Characters>
  <Application>Microsoft Office Word</Application>
  <DocSecurity>0</DocSecurity>
  <Lines>241</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fafa fafa</dc:creator>
  <cp:keywords/>
  <dc:description/>
  <cp:lastModifiedBy>antonio maria caputo</cp:lastModifiedBy>
  <cp:revision>8</cp:revision>
  <dcterms:created xsi:type="dcterms:W3CDTF">2025-10-24T08:32:00Z</dcterms:created>
  <dcterms:modified xsi:type="dcterms:W3CDTF">2025-10-24T11:24:00Z</dcterms:modified>
</cp:coreProperties>
</file>